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4C" w:rsidRDefault="00A2044C" w:rsidP="00793892">
      <w:pPr>
        <w:pStyle w:val="Default"/>
        <w:spacing w:line="276" w:lineRule="auto"/>
        <w:jc w:val="both"/>
      </w:pPr>
    </w:p>
    <w:p w:rsidR="00C2086C" w:rsidRDefault="00C2086C" w:rsidP="00793892">
      <w:pPr>
        <w:pStyle w:val="Default"/>
        <w:spacing w:line="276" w:lineRule="auto"/>
        <w:jc w:val="both"/>
        <w:rPr>
          <w:b/>
          <w:bCs/>
          <w:sz w:val="23"/>
          <w:szCs w:val="23"/>
        </w:rPr>
      </w:pPr>
      <w:r>
        <w:rPr>
          <w:b/>
          <w:bCs/>
          <w:sz w:val="23"/>
          <w:szCs w:val="23"/>
        </w:rPr>
        <w:t>AİHM</w:t>
      </w:r>
    </w:p>
    <w:p w:rsidR="00A2044C" w:rsidRPr="00C2086C" w:rsidRDefault="00A2044C" w:rsidP="00793892">
      <w:pPr>
        <w:pStyle w:val="Default"/>
        <w:spacing w:line="276" w:lineRule="auto"/>
        <w:jc w:val="both"/>
        <w:rPr>
          <w:b/>
          <w:bCs/>
          <w:sz w:val="23"/>
          <w:szCs w:val="23"/>
        </w:rPr>
      </w:pPr>
      <w:r>
        <w:rPr>
          <w:b/>
          <w:bCs/>
          <w:sz w:val="23"/>
          <w:szCs w:val="23"/>
        </w:rPr>
        <w:t xml:space="preserve">CENTRE FOR LEGAL RESOURCES ON BEHALF OF VALENTIN CÂMPEANU v. </w:t>
      </w:r>
      <w:r w:rsidR="00B6495A">
        <w:rPr>
          <w:b/>
          <w:bCs/>
          <w:sz w:val="23"/>
          <w:szCs w:val="23"/>
        </w:rPr>
        <w:t>ROMANY</w:t>
      </w:r>
      <w:r>
        <w:rPr>
          <w:b/>
          <w:bCs/>
          <w:sz w:val="23"/>
          <w:szCs w:val="23"/>
        </w:rPr>
        <w:t>A</w:t>
      </w:r>
      <w:r w:rsidR="00B6495A">
        <w:rPr>
          <w:b/>
          <w:bCs/>
          <w:sz w:val="23"/>
          <w:szCs w:val="23"/>
        </w:rPr>
        <w:t xml:space="preserve"> Kararı</w:t>
      </w:r>
      <w:r>
        <w:rPr>
          <w:b/>
          <w:bCs/>
          <w:sz w:val="23"/>
          <w:szCs w:val="23"/>
        </w:rPr>
        <w:t xml:space="preserve">, </w:t>
      </w:r>
      <w:r>
        <w:rPr>
          <w:i/>
          <w:iCs/>
          <w:sz w:val="23"/>
          <w:szCs w:val="23"/>
        </w:rPr>
        <w:t xml:space="preserve">Başvuru no. 47848/08, 17 Temmuz 2014.  </w:t>
      </w:r>
    </w:p>
    <w:p w:rsidR="00B6495A" w:rsidRPr="00B6495A" w:rsidRDefault="00B6495A" w:rsidP="00793892">
      <w:pPr>
        <w:spacing w:before="240"/>
        <w:jc w:val="both"/>
        <w:rPr>
          <w:b/>
          <w:i/>
        </w:rPr>
      </w:pPr>
      <w:r w:rsidRPr="00B6495A">
        <w:rPr>
          <w:b/>
          <w:i/>
        </w:rPr>
        <w:t xml:space="preserve">NOT: Bu </w:t>
      </w:r>
      <w:proofErr w:type="spellStart"/>
      <w:r w:rsidRPr="00B6495A">
        <w:rPr>
          <w:b/>
          <w:i/>
        </w:rPr>
        <w:t>gayriresmi</w:t>
      </w:r>
      <w:proofErr w:type="spellEnd"/>
      <w:r w:rsidRPr="00B6495A">
        <w:rPr>
          <w:b/>
          <w:i/>
        </w:rPr>
        <w:t xml:space="preserve"> çeviri D. Çiğdem Sever tarafından yapılmış olup kararın dava açma e</w:t>
      </w:r>
      <w:r w:rsidR="00793892">
        <w:rPr>
          <w:b/>
          <w:i/>
        </w:rPr>
        <w:t>hliyetine ilişkin değerlendirmeler</w:t>
      </w:r>
      <w:r w:rsidRPr="00B6495A">
        <w:rPr>
          <w:b/>
          <w:i/>
        </w:rPr>
        <w:t xml:space="preserve">in bulunduğu 96-114. paragraflarını içermektedir. Söz konusu başvuru bilinen yakın akrabası olmayan, çeşitli zihinsel engellere sahip ve HIV hastası olan, bütün hayatını devlet makamlarının bakımı altında geçirmiş ve ihmal sonucunda hastanede ölmüş olan Romen Bay </w:t>
      </w:r>
      <w:proofErr w:type="spellStart"/>
      <w:r w:rsidRPr="00B6495A">
        <w:rPr>
          <w:b/>
          <w:i/>
        </w:rPr>
        <w:t>Câmpeanu’nun</w:t>
      </w:r>
      <w:proofErr w:type="spellEnd"/>
      <w:r w:rsidRPr="00B6495A">
        <w:rPr>
          <w:b/>
          <w:i/>
        </w:rPr>
        <w:t xml:space="preserve"> yaşam hakkının ihlal edildiği iddiasıyla Romanya’da hukuki destek vermeye odaklı bir sivil toplum örgütünce açılmıştır. Bu örgüt Bay </w:t>
      </w:r>
      <w:proofErr w:type="spellStart"/>
      <w:r w:rsidRPr="00B6495A">
        <w:rPr>
          <w:b/>
          <w:i/>
        </w:rPr>
        <w:t>Câmpeanu’yu</w:t>
      </w:r>
      <w:proofErr w:type="spellEnd"/>
      <w:r w:rsidRPr="00B6495A">
        <w:rPr>
          <w:b/>
          <w:i/>
        </w:rPr>
        <w:t xml:space="preserve"> ölümünden kısa bir süre önce durumundan haberdar olmuş ve ölümünün ardından suç duyurusunda bulunarak konuyu takip etmiş, ancak iç hukuk yollarında sonuç alamayınca </w:t>
      </w:r>
      <w:proofErr w:type="spellStart"/>
      <w:r w:rsidRPr="00B6495A">
        <w:rPr>
          <w:b/>
          <w:i/>
        </w:rPr>
        <w:t>AİHM’e</w:t>
      </w:r>
      <w:proofErr w:type="spellEnd"/>
      <w:r w:rsidRPr="00B6495A">
        <w:rPr>
          <w:b/>
          <w:i/>
        </w:rPr>
        <w:t xml:space="preserve"> başvurmuştur. Davanın özgünlüğü, doğrudan bir yetki belgesi veya temsilci statüsü olmaksızın bir sivil toplum örgütünce yapılan başvurunun değerlendirilmiş olmasıdır. Bu nedenle hak ihlali iddialarına ilişkin kısımlar at</w:t>
      </w:r>
      <w:r w:rsidR="00793892">
        <w:rPr>
          <w:b/>
          <w:i/>
        </w:rPr>
        <w:t>l</w:t>
      </w:r>
      <w:r w:rsidRPr="00B6495A">
        <w:rPr>
          <w:b/>
          <w:i/>
        </w:rPr>
        <w:t>anarak</w:t>
      </w:r>
      <w:r w:rsidR="00793892">
        <w:rPr>
          <w:b/>
          <w:i/>
        </w:rPr>
        <w:t xml:space="preserve"> sadece </w:t>
      </w:r>
      <w:r w:rsidRPr="00B6495A">
        <w:rPr>
          <w:b/>
          <w:i/>
        </w:rPr>
        <w:t xml:space="preserve">ehliyete ilişkin kısım çevrilmiştir. </w:t>
      </w:r>
    </w:p>
    <w:p w:rsidR="00B6495A" w:rsidRPr="00793892" w:rsidRDefault="003E2F0B" w:rsidP="00793892">
      <w:pPr>
        <w:spacing w:before="240"/>
        <w:jc w:val="both"/>
        <w:rPr>
          <w:b/>
        </w:rPr>
      </w:pPr>
      <w:r w:rsidRPr="00793892">
        <w:rPr>
          <w:b/>
        </w:rPr>
        <w:t>2. Mahkemenin değerlendirmesi</w:t>
      </w:r>
    </w:p>
    <w:p w:rsidR="003E2F0B" w:rsidRPr="00793892" w:rsidRDefault="003E2F0B" w:rsidP="00793892">
      <w:pPr>
        <w:spacing w:before="240"/>
        <w:jc w:val="both"/>
        <w:rPr>
          <w:b/>
        </w:rPr>
      </w:pPr>
      <w:r w:rsidRPr="00793892">
        <w:rPr>
          <w:b/>
        </w:rPr>
        <w:t>(a) Mahkemenin daha önceki davalardaki yaklaşımı</w:t>
      </w:r>
    </w:p>
    <w:p w:rsidR="003E2F0B" w:rsidRPr="00793892" w:rsidRDefault="003E2F0B" w:rsidP="00793892">
      <w:pPr>
        <w:spacing w:before="240"/>
        <w:jc w:val="both"/>
        <w:rPr>
          <w:b/>
        </w:rPr>
      </w:pPr>
      <w:r w:rsidRPr="00793892">
        <w:rPr>
          <w:b/>
        </w:rPr>
        <w:t>(i) Doğrudan mağdurlar</w:t>
      </w:r>
    </w:p>
    <w:p w:rsidR="003E2F0B" w:rsidRPr="00A2044C" w:rsidRDefault="003E2F0B" w:rsidP="00793892">
      <w:pPr>
        <w:pStyle w:val="Default"/>
        <w:spacing w:before="240" w:line="276" w:lineRule="auto"/>
        <w:jc w:val="both"/>
        <w:rPr>
          <w:rFonts w:asciiTheme="minorHAnsi" w:hAnsiTheme="minorHAnsi"/>
          <w:sz w:val="23"/>
          <w:szCs w:val="23"/>
        </w:rPr>
      </w:pPr>
      <w:r w:rsidRPr="00B6495A">
        <w:rPr>
          <w:rFonts w:asciiTheme="minorHAnsi" w:hAnsiTheme="minorHAnsi"/>
          <w:b/>
        </w:rPr>
        <w:t>96.</w:t>
      </w:r>
      <w:r w:rsidRPr="00A2044C">
        <w:rPr>
          <w:rFonts w:asciiTheme="minorHAnsi" w:hAnsiTheme="minorHAnsi"/>
        </w:rPr>
        <w:t xml:space="preserve"> 34. Maddeye uygun olarak bir başvuru yapabilmek için bireyin şikayet edilen önlemden “doğrudan etkilendiğini” gösterebilmesi gerekir. (Bkz. </w:t>
      </w:r>
      <w:proofErr w:type="spellStart"/>
      <w:r w:rsidRPr="00A2044C">
        <w:rPr>
          <w:rFonts w:asciiTheme="minorHAnsi" w:hAnsiTheme="minorHAnsi"/>
          <w:i/>
          <w:iCs/>
          <w:sz w:val="23"/>
          <w:szCs w:val="23"/>
        </w:rPr>
        <w:t>Burden</w:t>
      </w:r>
      <w:proofErr w:type="spellEnd"/>
      <w:r w:rsidRPr="00A2044C">
        <w:rPr>
          <w:rFonts w:asciiTheme="minorHAnsi" w:hAnsiTheme="minorHAnsi"/>
          <w:i/>
          <w:iCs/>
          <w:sz w:val="23"/>
          <w:szCs w:val="23"/>
        </w:rPr>
        <w:t xml:space="preserve"> v. </w:t>
      </w:r>
      <w:proofErr w:type="spellStart"/>
      <w:r w:rsidRPr="00A2044C">
        <w:rPr>
          <w:rFonts w:asciiTheme="minorHAnsi" w:hAnsiTheme="minorHAnsi"/>
          <w:i/>
          <w:iCs/>
          <w:sz w:val="23"/>
          <w:szCs w:val="23"/>
        </w:rPr>
        <w:t>the</w:t>
      </w:r>
      <w:proofErr w:type="spellEnd"/>
      <w:r w:rsidRPr="00A2044C">
        <w:rPr>
          <w:rFonts w:asciiTheme="minorHAnsi" w:hAnsiTheme="minorHAnsi"/>
          <w:i/>
          <w:iCs/>
          <w:sz w:val="23"/>
          <w:szCs w:val="23"/>
        </w:rPr>
        <w:t xml:space="preserve"> United </w:t>
      </w:r>
      <w:proofErr w:type="spellStart"/>
      <w:r w:rsidRPr="00A2044C">
        <w:rPr>
          <w:rFonts w:asciiTheme="minorHAnsi" w:hAnsiTheme="minorHAnsi"/>
          <w:i/>
          <w:iCs/>
          <w:sz w:val="23"/>
          <w:szCs w:val="23"/>
        </w:rPr>
        <w:t>Kingdom</w:t>
      </w:r>
      <w:proofErr w:type="spellEnd"/>
      <w:r w:rsidRPr="00A2044C">
        <w:rPr>
          <w:rFonts w:asciiTheme="minorHAnsi" w:hAnsiTheme="minorHAnsi"/>
          <w:i/>
          <w:iCs/>
          <w:sz w:val="23"/>
          <w:szCs w:val="23"/>
        </w:rPr>
        <w:t xml:space="preserve"> </w:t>
      </w:r>
      <w:r w:rsidRPr="00A2044C">
        <w:rPr>
          <w:rFonts w:asciiTheme="minorHAnsi" w:hAnsiTheme="minorHAnsi"/>
          <w:sz w:val="23"/>
          <w:szCs w:val="23"/>
        </w:rPr>
        <w:t xml:space="preserve">[GC], no. 13378/05, § 33, ECHR 2008, </w:t>
      </w:r>
      <w:r w:rsidR="00A2044C">
        <w:rPr>
          <w:rFonts w:asciiTheme="minorHAnsi" w:hAnsiTheme="minorHAnsi"/>
          <w:sz w:val="23"/>
          <w:szCs w:val="23"/>
        </w:rPr>
        <w:t>ve</w:t>
      </w:r>
      <w:r w:rsidRPr="00A2044C">
        <w:rPr>
          <w:rFonts w:asciiTheme="minorHAnsi" w:hAnsiTheme="minorHAnsi"/>
          <w:sz w:val="23"/>
          <w:szCs w:val="23"/>
        </w:rPr>
        <w:t xml:space="preserve"> </w:t>
      </w:r>
      <w:r w:rsidRPr="00A2044C">
        <w:rPr>
          <w:rFonts w:asciiTheme="minorHAnsi" w:hAnsiTheme="minorHAnsi"/>
          <w:i/>
          <w:iCs/>
          <w:sz w:val="23"/>
          <w:szCs w:val="23"/>
        </w:rPr>
        <w:t xml:space="preserve">İlhan v. </w:t>
      </w:r>
      <w:proofErr w:type="spellStart"/>
      <w:r w:rsidRPr="00A2044C">
        <w:rPr>
          <w:rFonts w:asciiTheme="minorHAnsi" w:hAnsiTheme="minorHAnsi"/>
          <w:i/>
          <w:iCs/>
          <w:sz w:val="23"/>
          <w:szCs w:val="23"/>
        </w:rPr>
        <w:t>Turkey</w:t>
      </w:r>
      <w:proofErr w:type="spellEnd"/>
      <w:r w:rsidRPr="00A2044C">
        <w:rPr>
          <w:rFonts w:asciiTheme="minorHAnsi" w:hAnsiTheme="minorHAnsi"/>
          <w:i/>
          <w:iCs/>
          <w:sz w:val="23"/>
          <w:szCs w:val="23"/>
        </w:rPr>
        <w:t xml:space="preserve"> </w:t>
      </w:r>
      <w:r w:rsidRPr="00A2044C">
        <w:rPr>
          <w:rFonts w:asciiTheme="minorHAnsi" w:hAnsiTheme="minorHAnsi"/>
          <w:sz w:val="23"/>
          <w:szCs w:val="23"/>
        </w:rPr>
        <w:t>[GC], no. 22277/93, § 52, ECHR 2000-VII). Her ne kadar bu ölçütün davaların tamamında çok katı ve mekanik bir biçimde uygulanmaması gerekirse de bu koşul Sözleşmenin koruma mekanizmalarının hare</w:t>
      </w:r>
      <w:r w:rsidR="00A2044C">
        <w:rPr>
          <w:rFonts w:asciiTheme="minorHAnsi" w:hAnsiTheme="minorHAnsi"/>
          <w:sz w:val="23"/>
          <w:szCs w:val="23"/>
        </w:rPr>
        <w:t>k</w:t>
      </w:r>
      <w:r w:rsidRPr="00A2044C">
        <w:rPr>
          <w:rFonts w:asciiTheme="minorHAnsi" w:hAnsiTheme="minorHAnsi"/>
          <w:sz w:val="23"/>
          <w:szCs w:val="23"/>
        </w:rPr>
        <w:t xml:space="preserve">ete geçirilebilmesi için zorunludur. (Bkz. </w:t>
      </w:r>
      <w:r w:rsidR="00A2044C">
        <w:rPr>
          <w:rFonts w:asciiTheme="minorHAnsi" w:hAnsiTheme="minorHAnsi"/>
          <w:sz w:val="23"/>
          <w:szCs w:val="23"/>
        </w:rPr>
        <w:t xml:space="preserve">Yukarıda anılan </w:t>
      </w:r>
      <w:proofErr w:type="spellStart"/>
      <w:r w:rsidRPr="00A2044C">
        <w:rPr>
          <w:rFonts w:asciiTheme="minorHAnsi" w:hAnsiTheme="minorHAnsi"/>
          <w:i/>
          <w:iCs/>
          <w:sz w:val="23"/>
          <w:szCs w:val="23"/>
        </w:rPr>
        <w:t>Karner</w:t>
      </w:r>
      <w:proofErr w:type="spellEnd"/>
      <w:r w:rsidRPr="00A2044C">
        <w:rPr>
          <w:rFonts w:asciiTheme="minorHAnsi" w:hAnsiTheme="minorHAnsi"/>
          <w:sz w:val="23"/>
          <w:szCs w:val="23"/>
        </w:rPr>
        <w:t xml:space="preserve">, § 25, </w:t>
      </w:r>
      <w:proofErr w:type="spellStart"/>
      <w:r w:rsidRPr="00A2044C">
        <w:rPr>
          <w:rFonts w:asciiTheme="minorHAnsi" w:hAnsiTheme="minorHAnsi"/>
          <w:sz w:val="23"/>
          <w:szCs w:val="23"/>
        </w:rPr>
        <w:t>and</w:t>
      </w:r>
      <w:proofErr w:type="spellEnd"/>
      <w:r w:rsidRPr="00A2044C">
        <w:rPr>
          <w:rFonts w:asciiTheme="minorHAnsi" w:hAnsiTheme="minorHAnsi"/>
          <w:sz w:val="23"/>
          <w:szCs w:val="23"/>
        </w:rPr>
        <w:t xml:space="preserve"> </w:t>
      </w:r>
      <w:proofErr w:type="spellStart"/>
      <w:r w:rsidRPr="00A2044C">
        <w:rPr>
          <w:rFonts w:asciiTheme="minorHAnsi" w:hAnsiTheme="minorHAnsi"/>
          <w:i/>
          <w:iCs/>
          <w:sz w:val="23"/>
          <w:szCs w:val="23"/>
        </w:rPr>
        <w:t>Fairfield</w:t>
      </w:r>
      <w:proofErr w:type="spellEnd"/>
      <w:r w:rsidRPr="00A2044C">
        <w:rPr>
          <w:rFonts w:asciiTheme="minorHAnsi" w:hAnsiTheme="minorHAnsi"/>
          <w:i/>
          <w:iCs/>
          <w:sz w:val="23"/>
          <w:szCs w:val="23"/>
        </w:rPr>
        <w:t xml:space="preserve"> </w:t>
      </w:r>
      <w:proofErr w:type="spellStart"/>
      <w:r w:rsidR="00A2044C">
        <w:rPr>
          <w:rFonts w:asciiTheme="minorHAnsi" w:hAnsiTheme="minorHAnsi"/>
          <w:i/>
          <w:iCs/>
          <w:sz w:val="23"/>
          <w:szCs w:val="23"/>
        </w:rPr>
        <w:t>vd</w:t>
      </w:r>
      <w:proofErr w:type="spellEnd"/>
      <w:r w:rsidR="00A2044C">
        <w:rPr>
          <w:rFonts w:asciiTheme="minorHAnsi" w:hAnsiTheme="minorHAnsi"/>
          <w:i/>
          <w:iCs/>
          <w:sz w:val="23"/>
          <w:szCs w:val="23"/>
        </w:rPr>
        <w:t xml:space="preserve">. </w:t>
      </w:r>
      <w:r w:rsidRPr="00A2044C">
        <w:rPr>
          <w:rFonts w:asciiTheme="minorHAnsi" w:hAnsiTheme="minorHAnsi"/>
          <w:i/>
          <w:iCs/>
          <w:sz w:val="23"/>
          <w:szCs w:val="23"/>
        </w:rPr>
        <w:t xml:space="preserve">v. </w:t>
      </w:r>
      <w:proofErr w:type="spellStart"/>
      <w:r w:rsidRPr="00A2044C">
        <w:rPr>
          <w:rFonts w:asciiTheme="minorHAnsi" w:hAnsiTheme="minorHAnsi"/>
          <w:i/>
          <w:iCs/>
          <w:sz w:val="23"/>
          <w:szCs w:val="23"/>
        </w:rPr>
        <w:t>the</w:t>
      </w:r>
      <w:proofErr w:type="spellEnd"/>
      <w:r w:rsidRPr="00A2044C">
        <w:rPr>
          <w:rFonts w:asciiTheme="minorHAnsi" w:hAnsiTheme="minorHAnsi"/>
          <w:i/>
          <w:iCs/>
          <w:sz w:val="23"/>
          <w:szCs w:val="23"/>
        </w:rPr>
        <w:t xml:space="preserve"> United </w:t>
      </w:r>
      <w:proofErr w:type="spellStart"/>
      <w:r w:rsidRPr="00A2044C">
        <w:rPr>
          <w:rFonts w:asciiTheme="minorHAnsi" w:hAnsiTheme="minorHAnsi"/>
          <w:i/>
          <w:iCs/>
          <w:sz w:val="23"/>
          <w:szCs w:val="23"/>
        </w:rPr>
        <w:t>Kingdom</w:t>
      </w:r>
      <w:proofErr w:type="spellEnd"/>
      <w:r w:rsidRPr="00A2044C">
        <w:rPr>
          <w:rFonts w:asciiTheme="minorHAnsi" w:hAnsiTheme="minorHAnsi"/>
          <w:i/>
          <w:iCs/>
          <w:sz w:val="23"/>
          <w:szCs w:val="23"/>
        </w:rPr>
        <w:t xml:space="preserve"> </w:t>
      </w:r>
      <w:r w:rsidRPr="00A2044C">
        <w:rPr>
          <w:rFonts w:asciiTheme="minorHAnsi" w:hAnsiTheme="minorHAnsi"/>
          <w:sz w:val="23"/>
          <w:szCs w:val="23"/>
        </w:rPr>
        <w:t>(</w:t>
      </w:r>
      <w:proofErr w:type="spellStart"/>
      <w:r w:rsidRPr="00A2044C">
        <w:rPr>
          <w:rFonts w:asciiTheme="minorHAnsi" w:hAnsiTheme="minorHAnsi"/>
          <w:sz w:val="23"/>
          <w:szCs w:val="23"/>
        </w:rPr>
        <w:t>dec</w:t>
      </w:r>
      <w:proofErr w:type="spellEnd"/>
      <w:r w:rsidRPr="00A2044C">
        <w:rPr>
          <w:rFonts w:asciiTheme="minorHAnsi" w:hAnsiTheme="minorHAnsi"/>
          <w:sz w:val="23"/>
          <w:szCs w:val="23"/>
        </w:rPr>
        <w:t xml:space="preserve">.), no. 24790/04, ECHR 2005-VI). </w:t>
      </w:r>
    </w:p>
    <w:p w:rsidR="003E2F0B" w:rsidRPr="00C2086C" w:rsidRDefault="003E2F0B" w:rsidP="00C2086C">
      <w:pPr>
        <w:pStyle w:val="Default"/>
        <w:spacing w:before="240" w:line="276" w:lineRule="auto"/>
        <w:jc w:val="both"/>
        <w:rPr>
          <w:rFonts w:asciiTheme="minorHAnsi" w:hAnsiTheme="minorHAnsi"/>
          <w:sz w:val="23"/>
          <w:szCs w:val="23"/>
        </w:rPr>
      </w:pPr>
      <w:r w:rsidRPr="00A2044C">
        <w:rPr>
          <w:rFonts w:asciiTheme="minorHAnsi" w:hAnsiTheme="minorHAnsi"/>
        </w:rPr>
        <w:t>Ayrıca, Mahkemenin uygulamasına ve Sözleşmenin 34. Maddesine uygun olarak başvurular sadece yaşayan</w:t>
      </w:r>
      <w:r w:rsidR="00A2044C">
        <w:rPr>
          <w:rFonts w:asciiTheme="minorHAnsi" w:hAnsiTheme="minorHAnsi"/>
        </w:rPr>
        <w:t xml:space="preserve"> </w:t>
      </w:r>
      <w:r w:rsidRPr="00A2044C">
        <w:rPr>
          <w:rFonts w:asciiTheme="minorHAnsi" w:hAnsiTheme="minorHAnsi"/>
        </w:rPr>
        <w:t xml:space="preserve">bireylerce veya onlar adına yapılabilmektedir. </w:t>
      </w:r>
      <w:r w:rsidRPr="00A2044C">
        <w:rPr>
          <w:rFonts w:asciiTheme="minorHAnsi" w:hAnsiTheme="minorHAnsi"/>
          <w:sz w:val="23"/>
          <w:szCs w:val="23"/>
        </w:rPr>
        <w:t>(</w:t>
      </w:r>
      <w:r w:rsidR="00A2044C">
        <w:rPr>
          <w:rFonts w:asciiTheme="minorHAnsi" w:hAnsiTheme="minorHAnsi"/>
          <w:sz w:val="23"/>
          <w:szCs w:val="23"/>
        </w:rPr>
        <w:t>bkz.</w:t>
      </w:r>
      <w:r w:rsidRPr="00A2044C">
        <w:rPr>
          <w:rFonts w:asciiTheme="minorHAnsi" w:hAnsiTheme="minorHAnsi"/>
          <w:sz w:val="23"/>
          <w:szCs w:val="23"/>
        </w:rPr>
        <w:t xml:space="preserve"> </w:t>
      </w:r>
      <w:proofErr w:type="spellStart"/>
      <w:r w:rsidRPr="00A2044C">
        <w:rPr>
          <w:rFonts w:asciiTheme="minorHAnsi" w:hAnsiTheme="minorHAnsi"/>
          <w:i/>
          <w:iCs/>
          <w:sz w:val="23"/>
          <w:szCs w:val="23"/>
        </w:rPr>
        <w:t>Varnava</w:t>
      </w:r>
      <w:proofErr w:type="spellEnd"/>
      <w:r w:rsidRPr="00A2044C">
        <w:rPr>
          <w:rFonts w:asciiTheme="minorHAnsi" w:hAnsiTheme="minorHAnsi"/>
          <w:i/>
          <w:iCs/>
          <w:sz w:val="23"/>
          <w:szCs w:val="23"/>
        </w:rPr>
        <w:t xml:space="preserve"> </w:t>
      </w:r>
      <w:proofErr w:type="spellStart"/>
      <w:r w:rsidR="00A2044C">
        <w:rPr>
          <w:rFonts w:asciiTheme="minorHAnsi" w:hAnsiTheme="minorHAnsi"/>
          <w:i/>
          <w:iCs/>
          <w:sz w:val="23"/>
          <w:szCs w:val="23"/>
        </w:rPr>
        <w:t>vd</w:t>
      </w:r>
      <w:proofErr w:type="spellEnd"/>
      <w:r w:rsidR="00A2044C">
        <w:rPr>
          <w:rFonts w:asciiTheme="minorHAnsi" w:hAnsiTheme="minorHAnsi"/>
          <w:i/>
          <w:iCs/>
          <w:sz w:val="23"/>
          <w:szCs w:val="23"/>
        </w:rPr>
        <w:t xml:space="preserve">. </w:t>
      </w:r>
      <w:r w:rsidRPr="00A2044C">
        <w:rPr>
          <w:rFonts w:asciiTheme="minorHAnsi" w:hAnsiTheme="minorHAnsi"/>
          <w:i/>
          <w:iCs/>
          <w:sz w:val="23"/>
          <w:szCs w:val="23"/>
        </w:rPr>
        <w:t xml:space="preserve">v. </w:t>
      </w:r>
      <w:proofErr w:type="spellStart"/>
      <w:r w:rsidRPr="00A2044C">
        <w:rPr>
          <w:rFonts w:asciiTheme="minorHAnsi" w:hAnsiTheme="minorHAnsi"/>
          <w:i/>
          <w:iCs/>
          <w:sz w:val="23"/>
          <w:szCs w:val="23"/>
        </w:rPr>
        <w:t>Turkey</w:t>
      </w:r>
      <w:proofErr w:type="spellEnd"/>
      <w:r w:rsidRPr="00A2044C">
        <w:rPr>
          <w:rFonts w:asciiTheme="minorHAnsi" w:hAnsiTheme="minorHAnsi"/>
          <w:i/>
          <w:iCs/>
          <w:sz w:val="23"/>
          <w:szCs w:val="23"/>
        </w:rPr>
        <w:t xml:space="preserve"> </w:t>
      </w:r>
      <w:r w:rsidRPr="00A2044C">
        <w:rPr>
          <w:rFonts w:asciiTheme="minorHAnsi" w:hAnsiTheme="minorHAnsi"/>
          <w:sz w:val="23"/>
          <w:szCs w:val="23"/>
        </w:rPr>
        <w:t xml:space="preserve">[GC], </w:t>
      </w:r>
      <w:proofErr w:type="spellStart"/>
      <w:r w:rsidRPr="00A2044C">
        <w:rPr>
          <w:rFonts w:asciiTheme="minorHAnsi" w:hAnsiTheme="minorHAnsi"/>
          <w:sz w:val="23"/>
          <w:szCs w:val="23"/>
        </w:rPr>
        <w:t>nos</w:t>
      </w:r>
      <w:proofErr w:type="spellEnd"/>
      <w:r w:rsidRPr="00A2044C">
        <w:rPr>
          <w:rFonts w:asciiTheme="minorHAnsi" w:hAnsiTheme="minorHAnsi"/>
          <w:sz w:val="23"/>
          <w:szCs w:val="23"/>
        </w:rPr>
        <w:t xml:space="preserve">. 16064/90, 16065/90, 16066/90, 16068/90, 16069/90, 16070/90, 16071/90, 16072/90 </w:t>
      </w:r>
      <w:proofErr w:type="spellStart"/>
      <w:r w:rsidRPr="00A2044C">
        <w:rPr>
          <w:rFonts w:asciiTheme="minorHAnsi" w:hAnsiTheme="minorHAnsi"/>
          <w:sz w:val="23"/>
          <w:szCs w:val="23"/>
        </w:rPr>
        <w:t>and</w:t>
      </w:r>
      <w:proofErr w:type="spellEnd"/>
      <w:r w:rsidRPr="00A2044C">
        <w:rPr>
          <w:rFonts w:asciiTheme="minorHAnsi" w:hAnsiTheme="minorHAnsi"/>
          <w:sz w:val="23"/>
          <w:szCs w:val="23"/>
        </w:rPr>
        <w:t xml:space="preserve"> 16073/90, § 111, ECHR 2009). Bu nedenle </w:t>
      </w:r>
      <w:r w:rsidR="00A2044C" w:rsidRPr="00A2044C">
        <w:rPr>
          <w:rFonts w:asciiTheme="minorHAnsi" w:hAnsiTheme="minorHAnsi"/>
          <w:sz w:val="23"/>
          <w:szCs w:val="23"/>
        </w:rPr>
        <w:t>Mahkeme</w:t>
      </w:r>
      <w:r w:rsidR="00A2044C">
        <w:rPr>
          <w:rFonts w:asciiTheme="minorHAnsi" w:hAnsiTheme="minorHAnsi"/>
          <w:sz w:val="23"/>
          <w:szCs w:val="23"/>
        </w:rPr>
        <w:t>,</w:t>
      </w:r>
      <w:r w:rsidR="00A2044C" w:rsidRPr="00A2044C">
        <w:rPr>
          <w:rFonts w:asciiTheme="minorHAnsi" w:hAnsiTheme="minorHAnsi"/>
          <w:sz w:val="23"/>
          <w:szCs w:val="23"/>
        </w:rPr>
        <w:t xml:space="preserve"> </w:t>
      </w:r>
      <w:r w:rsidR="00A2044C">
        <w:rPr>
          <w:rFonts w:asciiTheme="minorHAnsi" w:hAnsiTheme="minorHAnsi"/>
          <w:sz w:val="23"/>
          <w:szCs w:val="23"/>
        </w:rPr>
        <w:t xml:space="preserve">pek çok </w:t>
      </w:r>
      <w:r w:rsidR="00A2044C" w:rsidRPr="00A2044C">
        <w:rPr>
          <w:rFonts w:asciiTheme="minorHAnsi" w:hAnsiTheme="minorHAnsi"/>
          <w:sz w:val="23"/>
          <w:szCs w:val="23"/>
        </w:rPr>
        <w:t xml:space="preserve">davada </w:t>
      </w:r>
      <w:r w:rsidRPr="00A2044C">
        <w:rPr>
          <w:rFonts w:asciiTheme="minorHAnsi" w:hAnsiTheme="minorHAnsi"/>
          <w:sz w:val="23"/>
          <w:szCs w:val="23"/>
        </w:rPr>
        <w:t xml:space="preserve">doğrudan mağdurun başvurunun sunulmasından önce ölmesi durumunda doğrudan mağdurun </w:t>
      </w:r>
      <w:r w:rsidR="00A2044C">
        <w:rPr>
          <w:rFonts w:asciiTheme="minorHAnsi" w:hAnsiTheme="minorHAnsi"/>
          <w:sz w:val="23"/>
          <w:szCs w:val="23"/>
        </w:rPr>
        <w:t>-</w:t>
      </w:r>
      <w:r w:rsidRPr="00A2044C">
        <w:rPr>
          <w:rFonts w:asciiTheme="minorHAnsi" w:hAnsiTheme="minorHAnsi"/>
          <w:sz w:val="23"/>
          <w:szCs w:val="23"/>
        </w:rPr>
        <w:t>Sözleşmenin 34. Maddesi açısından temsil edilse dahi</w:t>
      </w:r>
      <w:r w:rsidR="00A2044C">
        <w:rPr>
          <w:rFonts w:asciiTheme="minorHAnsi" w:hAnsiTheme="minorHAnsi"/>
          <w:sz w:val="23"/>
          <w:szCs w:val="23"/>
        </w:rPr>
        <w:t>-</w:t>
      </w:r>
      <w:r w:rsidRPr="00A2044C">
        <w:rPr>
          <w:rFonts w:asciiTheme="minorHAnsi" w:hAnsiTheme="minorHAnsi"/>
          <w:sz w:val="23"/>
          <w:szCs w:val="23"/>
        </w:rPr>
        <w:t xml:space="preserve"> başvurucu olma yetkisi olmadığına karar vermiştir. (</w:t>
      </w:r>
      <w:r w:rsidR="00A2044C">
        <w:rPr>
          <w:rFonts w:asciiTheme="minorHAnsi" w:hAnsiTheme="minorHAnsi"/>
          <w:sz w:val="23"/>
          <w:szCs w:val="23"/>
        </w:rPr>
        <w:t>Bkz.</w:t>
      </w:r>
      <w:r w:rsidRPr="00A2044C">
        <w:rPr>
          <w:rFonts w:asciiTheme="minorHAnsi" w:hAnsiTheme="minorHAnsi"/>
          <w:sz w:val="23"/>
          <w:szCs w:val="23"/>
        </w:rPr>
        <w:t xml:space="preserve"> </w:t>
      </w:r>
      <w:proofErr w:type="spellStart"/>
      <w:r w:rsidRPr="00A2044C">
        <w:rPr>
          <w:rFonts w:asciiTheme="minorHAnsi" w:hAnsiTheme="minorHAnsi"/>
          <w:i/>
          <w:iCs/>
          <w:sz w:val="23"/>
          <w:szCs w:val="23"/>
        </w:rPr>
        <w:t>Aizpurua</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Ortiz</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and</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Others</w:t>
      </w:r>
      <w:proofErr w:type="spellEnd"/>
      <w:r w:rsidRPr="00A2044C">
        <w:rPr>
          <w:rFonts w:asciiTheme="minorHAnsi" w:hAnsiTheme="minorHAnsi"/>
          <w:i/>
          <w:iCs/>
          <w:sz w:val="23"/>
          <w:szCs w:val="23"/>
        </w:rPr>
        <w:t xml:space="preserve"> v. </w:t>
      </w:r>
      <w:proofErr w:type="spellStart"/>
      <w:r w:rsidRPr="00A2044C">
        <w:rPr>
          <w:rFonts w:asciiTheme="minorHAnsi" w:hAnsiTheme="minorHAnsi"/>
          <w:i/>
          <w:iCs/>
          <w:sz w:val="23"/>
          <w:szCs w:val="23"/>
        </w:rPr>
        <w:t>Spain</w:t>
      </w:r>
      <w:proofErr w:type="spellEnd"/>
      <w:r w:rsidRPr="00A2044C">
        <w:rPr>
          <w:rFonts w:asciiTheme="minorHAnsi" w:hAnsiTheme="minorHAnsi"/>
          <w:sz w:val="23"/>
          <w:szCs w:val="23"/>
        </w:rPr>
        <w:t xml:space="preserve">, no. 42430/05, § 30, 2 </w:t>
      </w:r>
      <w:r w:rsidR="00A2044C">
        <w:rPr>
          <w:rFonts w:asciiTheme="minorHAnsi" w:hAnsiTheme="minorHAnsi"/>
          <w:sz w:val="23"/>
          <w:szCs w:val="23"/>
        </w:rPr>
        <w:t xml:space="preserve">Şubat </w:t>
      </w:r>
      <w:r w:rsidRPr="00A2044C">
        <w:rPr>
          <w:rFonts w:asciiTheme="minorHAnsi" w:hAnsiTheme="minorHAnsi"/>
          <w:sz w:val="23"/>
          <w:szCs w:val="23"/>
        </w:rPr>
        <w:t xml:space="preserve">2010; </w:t>
      </w:r>
      <w:proofErr w:type="spellStart"/>
      <w:r w:rsidRPr="00A2044C">
        <w:rPr>
          <w:rFonts w:asciiTheme="minorHAnsi" w:hAnsiTheme="minorHAnsi"/>
          <w:i/>
          <w:iCs/>
          <w:sz w:val="23"/>
          <w:szCs w:val="23"/>
        </w:rPr>
        <w:t>Dvořáček</w:t>
      </w:r>
      <w:proofErr w:type="spellEnd"/>
      <w:r w:rsidRPr="00A2044C">
        <w:rPr>
          <w:rFonts w:asciiTheme="minorHAnsi" w:hAnsiTheme="minorHAnsi"/>
          <w:i/>
          <w:iCs/>
          <w:sz w:val="23"/>
          <w:szCs w:val="23"/>
        </w:rPr>
        <w:t xml:space="preserve"> </w:t>
      </w:r>
      <w:r w:rsidR="00A2044C">
        <w:rPr>
          <w:rFonts w:asciiTheme="minorHAnsi" w:hAnsiTheme="minorHAnsi"/>
          <w:i/>
          <w:iCs/>
          <w:sz w:val="23"/>
          <w:szCs w:val="23"/>
        </w:rPr>
        <w:t xml:space="preserve">ve </w:t>
      </w:r>
      <w:proofErr w:type="spellStart"/>
      <w:r w:rsidRPr="00A2044C">
        <w:rPr>
          <w:rFonts w:asciiTheme="minorHAnsi" w:hAnsiTheme="minorHAnsi"/>
          <w:i/>
          <w:iCs/>
          <w:sz w:val="23"/>
          <w:szCs w:val="23"/>
        </w:rPr>
        <w:t>Dvořáčková</w:t>
      </w:r>
      <w:proofErr w:type="spellEnd"/>
      <w:r w:rsidRPr="00A2044C">
        <w:rPr>
          <w:rFonts w:asciiTheme="minorHAnsi" w:hAnsiTheme="minorHAnsi"/>
          <w:i/>
          <w:iCs/>
          <w:sz w:val="23"/>
          <w:szCs w:val="23"/>
        </w:rPr>
        <w:t xml:space="preserve"> v. </w:t>
      </w:r>
      <w:proofErr w:type="spellStart"/>
      <w:r w:rsidRPr="00A2044C">
        <w:rPr>
          <w:rFonts w:asciiTheme="minorHAnsi" w:hAnsiTheme="minorHAnsi"/>
          <w:i/>
          <w:iCs/>
          <w:sz w:val="23"/>
          <w:szCs w:val="23"/>
        </w:rPr>
        <w:t>Slovakia</w:t>
      </w:r>
      <w:proofErr w:type="spellEnd"/>
      <w:r w:rsidRPr="00A2044C">
        <w:rPr>
          <w:rFonts w:asciiTheme="minorHAnsi" w:hAnsiTheme="minorHAnsi"/>
          <w:sz w:val="23"/>
          <w:szCs w:val="23"/>
        </w:rPr>
        <w:t xml:space="preserve">, no. 30754/04, § 41, 28 </w:t>
      </w:r>
      <w:r w:rsidR="00A2044C">
        <w:rPr>
          <w:rFonts w:asciiTheme="minorHAnsi" w:hAnsiTheme="minorHAnsi"/>
          <w:sz w:val="23"/>
          <w:szCs w:val="23"/>
        </w:rPr>
        <w:t xml:space="preserve">Temmuz </w:t>
      </w:r>
      <w:r w:rsidRPr="00A2044C">
        <w:rPr>
          <w:rFonts w:asciiTheme="minorHAnsi" w:hAnsiTheme="minorHAnsi"/>
          <w:sz w:val="23"/>
          <w:szCs w:val="23"/>
        </w:rPr>
        <w:t xml:space="preserve">2009; </w:t>
      </w:r>
      <w:proofErr w:type="spellStart"/>
      <w:r w:rsidRPr="00A2044C">
        <w:rPr>
          <w:rFonts w:asciiTheme="minorHAnsi" w:hAnsiTheme="minorHAnsi"/>
          <w:sz w:val="23"/>
          <w:szCs w:val="23"/>
        </w:rPr>
        <w:t>and</w:t>
      </w:r>
      <w:proofErr w:type="spellEnd"/>
      <w:r w:rsidRPr="00A2044C">
        <w:rPr>
          <w:rFonts w:asciiTheme="minorHAnsi" w:hAnsiTheme="minorHAnsi"/>
          <w:sz w:val="23"/>
          <w:szCs w:val="23"/>
        </w:rPr>
        <w:t xml:space="preserve"> </w:t>
      </w:r>
      <w:r w:rsidRPr="00A2044C">
        <w:rPr>
          <w:rFonts w:asciiTheme="minorHAnsi" w:hAnsiTheme="minorHAnsi"/>
          <w:i/>
          <w:iCs/>
          <w:sz w:val="23"/>
          <w:szCs w:val="23"/>
        </w:rPr>
        <w:t xml:space="preserve">Kaya </w:t>
      </w:r>
      <w:r w:rsidR="00A2044C">
        <w:rPr>
          <w:rFonts w:asciiTheme="minorHAnsi" w:hAnsiTheme="minorHAnsi"/>
          <w:i/>
          <w:iCs/>
          <w:sz w:val="23"/>
          <w:szCs w:val="23"/>
        </w:rPr>
        <w:t xml:space="preserve">ve </w:t>
      </w:r>
      <w:r w:rsidRPr="00A2044C">
        <w:rPr>
          <w:rFonts w:asciiTheme="minorHAnsi" w:hAnsiTheme="minorHAnsi"/>
          <w:i/>
          <w:iCs/>
          <w:sz w:val="23"/>
          <w:szCs w:val="23"/>
        </w:rPr>
        <w:t xml:space="preserve">Polat v. </w:t>
      </w:r>
      <w:proofErr w:type="spellStart"/>
      <w:r w:rsidRPr="00A2044C">
        <w:rPr>
          <w:rFonts w:asciiTheme="minorHAnsi" w:hAnsiTheme="minorHAnsi"/>
          <w:i/>
          <w:iCs/>
          <w:sz w:val="23"/>
          <w:szCs w:val="23"/>
        </w:rPr>
        <w:t>Turkey</w:t>
      </w:r>
      <w:proofErr w:type="spellEnd"/>
      <w:r w:rsidRPr="00A2044C">
        <w:rPr>
          <w:rFonts w:asciiTheme="minorHAnsi" w:hAnsiTheme="minorHAnsi"/>
          <w:i/>
          <w:iCs/>
          <w:sz w:val="23"/>
          <w:szCs w:val="23"/>
        </w:rPr>
        <w:t xml:space="preserve"> </w:t>
      </w:r>
      <w:r w:rsidRPr="00A2044C">
        <w:rPr>
          <w:rFonts w:asciiTheme="minorHAnsi" w:hAnsiTheme="minorHAnsi"/>
          <w:sz w:val="23"/>
          <w:szCs w:val="23"/>
        </w:rPr>
        <w:t>(</w:t>
      </w:r>
      <w:proofErr w:type="spellStart"/>
      <w:r w:rsidRPr="00A2044C">
        <w:rPr>
          <w:rFonts w:asciiTheme="minorHAnsi" w:hAnsiTheme="minorHAnsi"/>
          <w:sz w:val="23"/>
          <w:szCs w:val="23"/>
        </w:rPr>
        <w:t>dec</w:t>
      </w:r>
      <w:proofErr w:type="spellEnd"/>
      <w:r w:rsidRPr="00A2044C">
        <w:rPr>
          <w:rFonts w:asciiTheme="minorHAnsi" w:hAnsiTheme="minorHAnsi"/>
          <w:sz w:val="23"/>
          <w:szCs w:val="23"/>
        </w:rPr>
        <w:t xml:space="preserve">.), </w:t>
      </w:r>
      <w:proofErr w:type="spellStart"/>
      <w:r w:rsidRPr="00A2044C">
        <w:rPr>
          <w:rFonts w:asciiTheme="minorHAnsi" w:hAnsiTheme="minorHAnsi"/>
          <w:sz w:val="23"/>
          <w:szCs w:val="23"/>
        </w:rPr>
        <w:t>nos</w:t>
      </w:r>
      <w:proofErr w:type="spellEnd"/>
      <w:r w:rsidRPr="00A2044C">
        <w:rPr>
          <w:rFonts w:asciiTheme="minorHAnsi" w:hAnsiTheme="minorHAnsi"/>
          <w:sz w:val="23"/>
          <w:szCs w:val="23"/>
        </w:rPr>
        <w:t xml:space="preserve">. 2794/05 </w:t>
      </w:r>
      <w:r w:rsidR="00A2044C">
        <w:rPr>
          <w:rFonts w:asciiTheme="minorHAnsi" w:hAnsiTheme="minorHAnsi"/>
          <w:sz w:val="23"/>
          <w:szCs w:val="23"/>
        </w:rPr>
        <w:t>ve</w:t>
      </w:r>
      <w:r w:rsidRPr="00A2044C">
        <w:rPr>
          <w:rFonts w:asciiTheme="minorHAnsi" w:hAnsiTheme="minorHAnsi"/>
          <w:sz w:val="23"/>
          <w:szCs w:val="23"/>
        </w:rPr>
        <w:t xml:space="preserve"> 40345/05, 21 </w:t>
      </w:r>
      <w:r w:rsidR="00A2044C">
        <w:rPr>
          <w:rFonts w:asciiTheme="minorHAnsi" w:hAnsiTheme="minorHAnsi"/>
          <w:sz w:val="23"/>
          <w:szCs w:val="23"/>
        </w:rPr>
        <w:t>Ekim</w:t>
      </w:r>
      <w:r w:rsidRPr="00A2044C">
        <w:rPr>
          <w:rFonts w:asciiTheme="minorHAnsi" w:hAnsiTheme="minorHAnsi"/>
          <w:sz w:val="23"/>
          <w:szCs w:val="23"/>
        </w:rPr>
        <w:t xml:space="preserve"> 2008). </w:t>
      </w:r>
    </w:p>
    <w:p w:rsidR="003E2F0B" w:rsidRPr="00A2044C" w:rsidRDefault="003E2F0B" w:rsidP="00793892">
      <w:pPr>
        <w:spacing w:before="240"/>
        <w:jc w:val="both"/>
        <w:rPr>
          <w:b/>
        </w:rPr>
      </w:pPr>
      <w:r w:rsidRPr="00A2044C">
        <w:rPr>
          <w:b/>
        </w:rPr>
        <w:t>(</w:t>
      </w:r>
      <w:proofErr w:type="spellStart"/>
      <w:r w:rsidRPr="00A2044C">
        <w:rPr>
          <w:b/>
        </w:rPr>
        <w:t>ii</w:t>
      </w:r>
      <w:proofErr w:type="spellEnd"/>
      <w:r w:rsidRPr="00A2044C">
        <w:rPr>
          <w:b/>
        </w:rPr>
        <w:t>) Dolaylı mağdurlar</w:t>
      </w:r>
    </w:p>
    <w:p w:rsidR="003E2F0B" w:rsidRPr="00A2044C" w:rsidRDefault="003E2F0B" w:rsidP="00793892">
      <w:pPr>
        <w:spacing w:before="240"/>
        <w:jc w:val="both"/>
        <w:rPr>
          <w:sz w:val="23"/>
          <w:szCs w:val="23"/>
        </w:rPr>
      </w:pPr>
      <w:r w:rsidRPr="00B6495A">
        <w:rPr>
          <w:b/>
          <w:sz w:val="23"/>
          <w:szCs w:val="23"/>
        </w:rPr>
        <w:t>97.</w:t>
      </w:r>
      <w:r w:rsidRPr="00A2044C">
        <w:rPr>
          <w:sz w:val="23"/>
          <w:szCs w:val="23"/>
        </w:rPr>
        <w:t xml:space="preserve"> Yukarıda anılan türde davalar başvurucunun mirasçılarının </w:t>
      </w:r>
      <w:r w:rsidR="00B51654" w:rsidRPr="00A2044C">
        <w:rPr>
          <w:sz w:val="23"/>
          <w:szCs w:val="23"/>
        </w:rPr>
        <w:t xml:space="preserve">başvuru yapması mümkün olan davalardan farklıdır. Bu soruyla ilgili önemli bir örnek babasının ölümünden sonra babasının düşünce, din ve ifade özgürlüğünün (Sözleşmenin 9 ve 10. Maddelerinin) ihlal edildiği iddiasıyla </w:t>
      </w:r>
      <w:r w:rsidR="00B51654" w:rsidRPr="00A2044C">
        <w:rPr>
          <w:sz w:val="23"/>
          <w:szCs w:val="23"/>
        </w:rPr>
        <w:lastRenderedPageBreak/>
        <w:t xml:space="preserve">kızının başvuru yaptığı </w:t>
      </w:r>
      <w:proofErr w:type="spellStart"/>
      <w:r w:rsidR="00B51654" w:rsidRPr="00A2044C">
        <w:rPr>
          <w:sz w:val="23"/>
          <w:szCs w:val="23"/>
        </w:rPr>
        <w:t>Fairfield</w:t>
      </w:r>
      <w:proofErr w:type="spellEnd"/>
      <w:r w:rsidR="00B51654" w:rsidRPr="00A2044C">
        <w:rPr>
          <w:sz w:val="23"/>
          <w:szCs w:val="23"/>
        </w:rPr>
        <w:t xml:space="preserve"> ve diğerleri (Yukarıda anılmıştır) davasıdır. Yerel mahkemeler </w:t>
      </w:r>
      <w:proofErr w:type="spellStart"/>
      <w:r w:rsidR="00B51654" w:rsidRPr="00A2044C">
        <w:rPr>
          <w:sz w:val="23"/>
          <w:szCs w:val="23"/>
        </w:rPr>
        <w:t>Fairfield’in</w:t>
      </w:r>
      <w:proofErr w:type="spellEnd"/>
      <w:r w:rsidR="00B51654" w:rsidRPr="00A2044C">
        <w:rPr>
          <w:sz w:val="23"/>
          <w:szCs w:val="23"/>
        </w:rPr>
        <w:t xml:space="preserve"> babasının ölümünden sonra dava açmasını kabul etmiş olsa da Mahkeme mağdurun kızının mağdur sıfatını kabul etmemiş ve bu davayı, başvurucunun kendisinin başvurduğu ve ölümünün ardından eşince dava açılan </w:t>
      </w:r>
      <w:proofErr w:type="spellStart"/>
      <w:r w:rsidR="00B51654" w:rsidRPr="00A2044C">
        <w:rPr>
          <w:sz w:val="23"/>
          <w:szCs w:val="23"/>
        </w:rPr>
        <w:t>Dalban</w:t>
      </w:r>
      <w:proofErr w:type="spellEnd"/>
      <w:r w:rsidR="00B51654" w:rsidRPr="00A2044C">
        <w:rPr>
          <w:sz w:val="23"/>
          <w:szCs w:val="23"/>
        </w:rPr>
        <w:t xml:space="preserve"> v. Romanya davasındaki ([GC], no. 28114/95, ECHR 1999-VI) durumdan farklı olarak nitelemiştir. </w:t>
      </w:r>
    </w:p>
    <w:p w:rsidR="00B51654" w:rsidRPr="00A2044C" w:rsidRDefault="00B51654" w:rsidP="00793892">
      <w:pPr>
        <w:spacing w:before="240"/>
        <w:jc w:val="both"/>
        <w:rPr>
          <w:sz w:val="23"/>
          <w:szCs w:val="23"/>
        </w:rPr>
      </w:pPr>
      <w:r w:rsidRPr="00A2044C">
        <w:rPr>
          <w:sz w:val="23"/>
          <w:szCs w:val="23"/>
        </w:rPr>
        <w:t xml:space="preserve">Bu bağlamda, Mahkeme, doğrudan mağdurun Mahkemeye başvuru yaptıktan sonra ölmesi ile başvuru yapılmadan önce ölmesi durumlarını birbirinden ayırmıştır. </w:t>
      </w:r>
    </w:p>
    <w:p w:rsidR="00B51654" w:rsidRPr="00A2044C" w:rsidRDefault="00B51654" w:rsidP="00793892">
      <w:pPr>
        <w:spacing w:before="240"/>
        <w:jc w:val="both"/>
        <w:rPr>
          <w:sz w:val="23"/>
          <w:szCs w:val="23"/>
        </w:rPr>
      </w:pPr>
      <w:r w:rsidRPr="00A2044C">
        <w:rPr>
          <w:sz w:val="23"/>
          <w:szCs w:val="23"/>
        </w:rPr>
        <w:t xml:space="preserve">Başvurucunun başvuru yaptıktan sonra ölmesi durumunda Mahkeme </w:t>
      </w:r>
      <w:r w:rsidR="00AB66DC" w:rsidRPr="00A2044C">
        <w:rPr>
          <w:sz w:val="23"/>
          <w:szCs w:val="23"/>
        </w:rPr>
        <w:t>dava</w:t>
      </w:r>
      <w:r w:rsidR="00D215C5" w:rsidRPr="00A2044C">
        <w:rPr>
          <w:sz w:val="23"/>
          <w:szCs w:val="23"/>
        </w:rPr>
        <w:t>yı sürdü</w:t>
      </w:r>
      <w:r w:rsidR="00AB66DC" w:rsidRPr="00A2044C">
        <w:rPr>
          <w:sz w:val="23"/>
          <w:szCs w:val="23"/>
        </w:rPr>
        <w:t xml:space="preserve">rmekte makul bir </w:t>
      </w:r>
      <w:r w:rsidR="008C5013">
        <w:rPr>
          <w:sz w:val="23"/>
          <w:szCs w:val="23"/>
        </w:rPr>
        <w:t>menfaati</w:t>
      </w:r>
      <w:r w:rsidR="00AB66DC" w:rsidRPr="00A2044C">
        <w:rPr>
          <w:sz w:val="23"/>
          <w:szCs w:val="23"/>
        </w:rPr>
        <w:t xml:space="preserve"> varsa </w:t>
      </w:r>
      <w:r w:rsidRPr="00A2044C">
        <w:rPr>
          <w:sz w:val="23"/>
          <w:szCs w:val="23"/>
        </w:rPr>
        <w:t xml:space="preserve">yakın akraba ya da mirasçının ilkesel olarak başvuruyu sürdürebileceğini kabul etmiştir.  </w:t>
      </w:r>
      <w:r w:rsidR="00AB66DC" w:rsidRPr="00A2044C">
        <w:rPr>
          <w:sz w:val="23"/>
          <w:szCs w:val="23"/>
        </w:rPr>
        <w:t xml:space="preserve">(Örneğin bkz. </w:t>
      </w:r>
      <w:proofErr w:type="spellStart"/>
      <w:r w:rsidR="00AB66DC" w:rsidRPr="00A2044C">
        <w:rPr>
          <w:i/>
          <w:iCs/>
          <w:sz w:val="23"/>
          <w:szCs w:val="23"/>
        </w:rPr>
        <w:t>Raimondo</w:t>
      </w:r>
      <w:proofErr w:type="spellEnd"/>
      <w:r w:rsidR="00AB66DC" w:rsidRPr="00A2044C">
        <w:rPr>
          <w:i/>
          <w:iCs/>
          <w:sz w:val="23"/>
          <w:szCs w:val="23"/>
        </w:rPr>
        <w:t xml:space="preserve"> v. </w:t>
      </w:r>
      <w:proofErr w:type="spellStart"/>
      <w:r w:rsidR="00AB66DC" w:rsidRPr="00A2044C">
        <w:rPr>
          <w:i/>
          <w:iCs/>
          <w:sz w:val="23"/>
          <w:szCs w:val="23"/>
        </w:rPr>
        <w:t>Italy</w:t>
      </w:r>
      <w:proofErr w:type="spellEnd"/>
      <w:r w:rsidR="00AB66DC" w:rsidRPr="00A2044C">
        <w:rPr>
          <w:i/>
          <w:iCs/>
          <w:sz w:val="23"/>
          <w:szCs w:val="23"/>
        </w:rPr>
        <w:t xml:space="preserve"> davasında eş ve çocuklar</w:t>
      </w:r>
      <w:r w:rsidR="00AB66DC" w:rsidRPr="00A2044C">
        <w:rPr>
          <w:sz w:val="23"/>
          <w:szCs w:val="23"/>
        </w:rPr>
        <w:t xml:space="preserve">, 22 </w:t>
      </w:r>
      <w:proofErr w:type="spellStart"/>
      <w:r w:rsidR="00AB66DC" w:rsidRPr="00A2044C">
        <w:rPr>
          <w:sz w:val="23"/>
          <w:szCs w:val="23"/>
        </w:rPr>
        <w:t>February</w:t>
      </w:r>
      <w:proofErr w:type="spellEnd"/>
      <w:r w:rsidR="00AB66DC" w:rsidRPr="00A2044C">
        <w:rPr>
          <w:sz w:val="23"/>
          <w:szCs w:val="23"/>
        </w:rPr>
        <w:t xml:space="preserve"> 1994, § 2, </w:t>
      </w:r>
      <w:proofErr w:type="spellStart"/>
      <w:r w:rsidR="00AB66DC" w:rsidRPr="00A2044C">
        <w:rPr>
          <w:sz w:val="23"/>
          <w:szCs w:val="23"/>
        </w:rPr>
        <w:t>Series</w:t>
      </w:r>
      <w:proofErr w:type="spellEnd"/>
      <w:r w:rsidR="00AB66DC" w:rsidRPr="00A2044C">
        <w:rPr>
          <w:sz w:val="23"/>
          <w:szCs w:val="23"/>
        </w:rPr>
        <w:t xml:space="preserve"> A no. 281-A, </w:t>
      </w:r>
      <w:proofErr w:type="spellStart"/>
      <w:r w:rsidR="00AB66DC" w:rsidRPr="00A2044C">
        <w:rPr>
          <w:sz w:val="23"/>
          <w:szCs w:val="23"/>
        </w:rPr>
        <w:t>and</w:t>
      </w:r>
      <w:proofErr w:type="spellEnd"/>
      <w:r w:rsidR="00AB66DC" w:rsidRPr="00A2044C">
        <w:rPr>
          <w:sz w:val="23"/>
          <w:szCs w:val="23"/>
        </w:rPr>
        <w:t xml:space="preserve"> </w:t>
      </w:r>
      <w:proofErr w:type="spellStart"/>
      <w:r w:rsidR="00AB66DC" w:rsidRPr="00A2044C">
        <w:rPr>
          <w:i/>
          <w:iCs/>
          <w:sz w:val="23"/>
          <w:szCs w:val="23"/>
        </w:rPr>
        <w:t>Stojkovic</w:t>
      </w:r>
      <w:proofErr w:type="spellEnd"/>
      <w:r w:rsidR="00AB66DC" w:rsidRPr="00A2044C">
        <w:rPr>
          <w:i/>
          <w:iCs/>
          <w:sz w:val="23"/>
          <w:szCs w:val="23"/>
        </w:rPr>
        <w:t xml:space="preserve"> v. “</w:t>
      </w:r>
      <w:proofErr w:type="spellStart"/>
      <w:r w:rsidR="00AB66DC" w:rsidRPr="00A2044C">
        <w:rPr>
          <w:i/>
          <w:iCs/>
          <w:sz w:val="23"/>
          <w:szCs w:val="23"/>
        </w:rPr>
        <w:t>the</w:t>
      </w:r>
      <w:proofErr w:type="spellEnd"/>
      <w:r w:rsidR="00AB66DC" w:rsidRPr="00A2044C">
        <w:rPr>
          <w:i/>
          <w:iCs/>
          <w:sz w:val="23"/>
          <w:szCs w:val="23"/>
        </w:rPr>
        <w:t xml:space="preserve"> </w:t>
      </w:r>
      <w:proofErr w:type="spellStart"/>
      <w:r w:rsidR="00AB66DC" w:rsidRPr="00A2044C">
        <w:rPr>
          <w:i/>
          <w:iCs/>
          <w:sz w:val="23"/>
          <w:szCs w:val="23"/>
        </w:rPr>
        <w:t>former</w:t>
      </w:r>
      <w:proofErr w:type="spellEnd"/>
      <w:r w:rsidR="00AB66DC" w:rsidRPr="00A2044C">
        <w:rPr>
          <w:i/>
          <w:iCs/>
          <w:sz w:val="23"/>
          <w:szCs w:val="23"/>
        </w:rPr>
        <w:t xml:space="preserve"> Yugoslav </w:t>
      </w:r>
      <w:proofErr w:type="spellStart"/>
      <w:r w:rsidR="00AB66DC" w:rsidRPr="00A2044C">
        <w:rPr>
          <w:i/>
          <w:iCs/>
          <w:sz w:val="23"/>
          <w:szCs w:val="23"/>
        </w:rPr>
        <w:t>Republic</w:t>
      </w:r>
      <w:proofErr w:type="spellEnd"/>
      <w:r w:rsidR="00AB66DC" w:rsidRPr="00A2044C">
        <w:rPr>
          <w:i/>
          <w:iCs/>
          <w:sz w:val="23"/>
          <w:szCs w:val="23"/>
        </w:rPr>
        <w:t xml:space="preserve"> of </w:t>
      </w:r>
      <w:proofErr w:type="spellStart"/>
      <w:r w:rsidR="00AB66DC" w:rsidRPr="00A2044C">
        <w:rPr>
          <w:i/>
          <w:iCs/>
          <w:sz w:val="23"/>
          <w:szCs w:val="23"/>
        </w:rPr>
        <w:t>Macedonia</w:t>
      </w:r>
      <w:proofErr w:type="spellEnd"/>
      <w:r w:rsidR="00AB66DC" w:rsidRPr="00A2044C">
        <w:rPr>
          <w:i/>
          <w:iCs/>
          <w:sz w:val="23"/>
          <w:szCs w:val="23"/>
        </w:rPr>
        <w:t>”</w:t>
      </w:r>
      <w:r w:rsidR="00AB66DC" w:rsidRPr="00A2044C">
        <w:rPr>
          <w:sz w:val="23"/>
          <w:szCs w:val="23"/>
        </w:rPr>
        <w:t xml:space="preserve">, no. 14818/02, § 25, 8 </w:t>
      </w:r>
      <w:r w:rsidR="008C5013">
        <w:rPr>
          <w:sz w:val="23"/>
          <w:szCs w:val="23"/>
        </w:rPr>
        <w:t>kasım</w:t>
      </w:r>
      <w:r w:rsidR="00AB66DC" w:rsidRPr="00A2044C">
        <w:rPr>
          <w:sz w:val="23"/>
          <w:szCs w:val="23"/>
        </w:rPr>
        <w:t xml:space="preserve"> 2007; </w:t>
      </w:r>
      <w:r w:rsidR="00AB66DC" w:rsidRPr="00A2044C">
        <w:rPr>
          <w:i/>
          <w:iCs/>
          <w:sz w:val="23"/>
          <w:szCs w:val="23"/>
        </w:rPr>
        <w:t xml:space="preserve">X v. </w:t>
      </w:r>
      <w:proofErr w:type="spellStart"/>
      <w:r w:rsidR="00AB66DC" w:rsidRPr="00A2044C">
        <w:rPr>
          <w:i/>
          <w:iCs/>
          <w:sz w:val="23"/>
          <w:szCs w:val="23"/>
        </w:rPr>
        <w:t>France</w:t>
      </w:r>
      <w:proofErr w:type="spellEnd"/>
      <w:r w:rsidR="00AB66DC" w:rsidRPr="00A2044C">
        <w:rPr>
          <w:i/>
          <w:iCs/>
          <w:sz w:val="23"/>
          <w:szCs w:val="23"/>
        </w:rPr>
        <w:t xml:space="preserve"> davasında ebeveyn</w:t>
      </w:r>
      <w:r w:rsidR="008C5013">
        <w:rPr>
          <w:sz w:val="23"/>
          <w:szCs w:val="23"/>
        </w:rPr>
        <w:t>, no. 18020/91, § 26, 31 Mart</w:t>
      </w:r>
      <w:r w:rsidR="00AB66DC" w:rsidRPr="00A2044C">
        <w:rPr>
          <w:sz w:val="23"/>
          <w:szCs w:val="23"/>
        </w:rPr>
        <w:t xml:space="preserve"> 1992; </w:t>
      </w:r>
      <w:proofErr w:type="spellStart"/>
      <w:r w:rsidR="00AB66DC" w:rsidRPr="00A2044C">
        <w:rPr>
          <w:i/>
          <w:iCs/>
          <w:sz w:val="23"/>
          <w:szCs w:val="23"/>
        </w:rPr>
        <w:t>Malhous</w:t>
      </w:r>
      <w:proofErr w:type="spellEnd"/>
      <w:r w:rsidR="00AB66DC" w:rsidRPr="00A2044C">
        <w:rPr>
          <w:i/>
          <w:iCs/>
          <w:sz w:val="23"/>
          <w:szCs w:val="23"/>
        </w:rPr>
        <w:t xml:space="preserve"> v. </w:t>
      </w:r>
      <w:proofErr w:type="spellStart"/>
      <w:r w:rsidR="00AB66DC" w:rsidRPr="00A2044C">
        <w:rPr>
          <w:i/>
          <w:iCs/>
          <w:sz w:val="23"/>
          <w:szCs w:val="23"/>
        </w:rPr>
        <w:t>the</w:t>
      </w:r>
      <w:proofErr w:type="spellEnd"/>
      <w:r w:rsidR="00AB66DC" w:rsidRPr="00A2044C">
        <w:rPr>
          <w:i/>
          <w:iCs/>
          <w:sz w:val="23"/>
          <w:szCs w:val="23"/>
        </w:rPr>
        <w:t xml:space="preserve"> </w:t>
      </w:r>
      <w:proofErr w:type="spellStart"/>
      <w:r w:rsidR="00AB66DC" w:rsidRPr="00A2044C">
        <w:rPr>
          <w:i/>
          <w:iCs/>
          <w:sz w:val="23"/>
          <w:szCs w:val="23"/>
        </w:rPr>
        <w:t>Czech</w:t>
      </w:r>
      <w:proofErr w:type="spellEnd"/>
      <w:r w:rsidR="00AB66DC" w:rsidRPr="00A2044C">
        <w:rPr>
          <w:i/>
          <w:iCs/>
          <w:sz w:val="23"/>
          <w:szCs w:val="23"/>
        </w:rPr>
        <w:t xml:space="preserve"> </w:t>
      </w:r>
      <w:proofErr w:type="spellStart"/>
      <w:r w:rsidR="00AB66DC" w:rsidRPr="00A2044C">
        <w:rPr>
          <w:i/>
          <w:iCs/>
          <w:sz w:val="23"/>
          <w:szCs w:val="23"/>
        </w:rPr>
        <w:t>Republic</w:t>
      </w:r>
      <w:proofErr w:type="spellEnd"/>
      <w:r w:rsidR="00AB66DC" w:rsidRPr="00A2044C">
        <w:rPr>
          <w:i/>
          <w:iCs/>
          <w:sz w:val="23"/>
          <w:szCs w:val="23"/>
        </w:rPr>
        <w:t xml:space="preserve"> </w:t>
      </w:r>
      <w:r w:rsidR="00AB66DC" w:rsidRPr="00A2044C">
        <w:rPr>
          <w:sz w:val="23"/>
          <w:szCs w:val="23"/>
        </w:rPr>
        <w:t>(</w:t>
      </w:r>
      <w:proofErr w:type="spellStart"/>
      <w:r w:rsidR="00AB66DC" w:rsidRPr="00A2044C">
        <w:rPr>
          <w:sz w:val="23"/>
          <w:szCs w:val="23"/>
        </w:rPr>
        <w:t>dec</w:t>
      </w:r>
      <w:proofErr w:type="spellEnd"/>
      <w:r w:rsidR="00AB66DC" w:rsidRPr="00A2044C">
        <w:rPr>
          <w:sz w:val="23"/>
          <w:szCs w:val="23"/>
        </w:rPr>
        <w:t xml:space="preserve">.) davasında yeğen ve olası mirasçı, no. 33071/96, ECHR 2000-XII; </w:t>
      </w:r>
      <w:proofErr w:type="spellStart"/>
      <w:r w:rsidR="00AB66DC" w:rsidRPr="00A2044C">
        <w:rPr>
          <w:i/>
          <w:iCs/>
          <w:sz w:val="23"/>
          <w:szCs w:val="23"/>
        </w:rPr>
        <w:t>Velikova</w:t>
      </w:r>
      <w:proofErr w:type="spellEnd"/>
      <w:r w:rsidR="00AB66DC" w:rsidRPr="00A2044C">
        <w:rPr>
          <w:i/>
          <w:iCs/>
          <w:sz w:val="23"/>
          <w:szCs w:val="23"/>
        </w:rPr>
        <w:t xml:space="preserve"> v. </w:t>
      </w:r>
      <w:proofErr w:type="spellStart"/>
      <w:r w:rsidR="00AB66DC" w:rsidRPr="00A2044C">
        <w:rPr>
          <w:i/>
          <w:iCs/>
          <w:sz w:val="23"/>
          <w:szCs w:val="23"/>
        </w:rPr>
        <w:t>Bulgaria</w:t>
      </w:r>
      <w:proofErr w:type="spellEnd"/>
      <w:r w:rsidR="00AB66DC" w:rsidRPr="00A2044C">
        <w:rPr>
          <w:i/>
          <w:iCs/>
          <w:sz w:val="23"/>
          <w:szCs w:val="23"/>
        </w:rPr>
        <w:t xml:space="preserve"> </w:t>
      </w:r>
      <w:r w:rsidR="00AB66DC" w:rsidRPr="00A2044C">
        <w:rPr>
          <w:sz w:val="23"/>
          <w:szCs w:val="23"/>
        </w:rPr>
        <w:t>(</w:t>
      </w:r>
      <w:proofErr w:type="spellStart"/>
      <w:r w:rsidR="00AB66DC" w:rsidRPr="00A2044C">
        <w:rPr>
          <w:sz w:val="23"/>
          <w:szCs w:val="23"/>
        </w:rPr>
        <w:t>dec</w:t>
      </w:r>
      <w:proofErr w:type="spellEnd"/>
      <w:r w:rsidR="00AB66DC" w:rsidRPr="00A2044C">
        <w:rPr>
          <w:sz w:val="23"/>
          <w:szCs w:val="23"/>
        </w:rPr>
        <w:t xml:space="preserve">.) davasında evli olmayan veya fiili hayat arkadaşı, no. 41488/98, </w:t>
      </w:r>
      <w:r w:rsidRPr="00A2044C">
        <w:rPr>
          <w:sz w:val="23"/>
          <w:szCs w:val="23"/>
        </w:rPr>
        <w:t>18 May</w:t>
      </w:r>
      <w:r w:rsidR="008C5013">
        <w:rPr>
          <w:sz w:val="23"/>
          <w:szCs w:val="23"/>
        </w:rPr>
        <w:t>ıs</w:t>
      </w:r>
      <w:r w:rsidRPr="00A2044C">
        <w:rPr>
          <w:sz w:val="23"/>
          <w:szCs w:val="23"/>
        </w:rPr>
        <w:t xml:space="preserve"> 1999;</w:t>
      </w:r>
      <w:r w:rsidR="00AB66DC" w:rsidRPr="00A2044C">
        <w:rPr>
          <w:sz w:val="23"/>
          <w:szCs w:val="23"/>
        </w:rPr>
        <w:t xml:space="preserve"> </w:t>
      </w:r>
      <w:r w:rsidRPr="00A2044C">
        <w:rPr>
          <w:sz w:val="23"/>
          <w:szCs w:val="23"/>
        </w:rPr>
        <w:t xml:space="preserve"> </w:t>
      </w:r>
      <w:proofErr w:type="spellStart"/>
      <w:r w:rsidRPr="00A2044C">
        <w:rPr>
          <w:i/>
          <w:iCs/>
          <w:sz w:val="23"/>
          <w:szCs w:val="23"/>
        </w:rPr>
        <w:t>Thévenon</w:t>
      </w:r>
      <w:proofErr w:type="spellEnd"/>
      <w:r w:rsidRPr="00A2044C">
        <w:rPr>
          <w:i/>
          <w:iCs/>
          <w:sz w:val="23"/>
          <w:szCs w:val="23"/>
        </w:rPr>
        <w:t xml:space="preserve"> v. </w:t>
      </w:r>
      <w:proofErr w:type="spellStart"/>
      <w:r w:rsidRPr="00A2044C">
        <w:rPr>
          <w:i/>
          <w:iCs/>
          <w:sz w:val="23"/>
          <w:szCs w:val="23"/>
        </w:rPr>
        <w:t>France</w:t>
      </w:r>
      <w:proofErr w:type="spellEnd"/>
      <w:r w:rsidRPr="00A2044C">
        <w:rPr>
          <w:i/>
          <w:iCs/>
          <w:sz w:val="23"/>
          <w:szCs w:val="23"/>
        </w:rPr>
        <w:t xml:space="preserve"> </w:t>
      </w:r>
      <w:r w:rsidRPr="00A2044C">
        <w:rPr>
          <w:sz w:val="23"/>
          <w:szCs w:val="23"/>
        </w:rPr>
        <w:t>(</w:t>
      </w:r>
      <w:proofErr w:type="spellStart"/>
      <w:r w:rsidRPr="00A2044C">
        <w:rPr>
          <w:sz w:val="23"/>
          <w:szCs w:val="23"/>
        </w:rPr>
        <w:t>dec</w:t>
      </w:r>
      <w:proofErr w:type="spellEnd"/>
      <w:r w:rsidRPr="00A2044C">
        <w:rPr>
          <w:sz w:val="23"/>
          <w:szCs w:val="23"/>
        </w:rPr>
        <w:t>.)</w:t>
      </w:r>
      <w:r w:rsidR="00AB66DC" w:rsidRPr="00A2044C">
        <w:rPr>
          <w:sz w:val="23"/>
          <w:szCs w:val="23"/>
        </w:rPr>
        <w:t xml:space="preserve"> davasında ölen kişiyle akrabalığı olmayan mirasçı</w:t>
      </w:r>
      <w:r w:rsidRPr="00A2044C">
        <w:rPr>
          <w:sz w:val="23"/>
          <w:szCs w:val="23"/>
        </w:rPr>
        <w:t xml:space="preserve">, no. 2476/02, ECHR 200 –III; </w:t>
      </w:r>
      <w:proofErr w:type="spellStart"/>
      <w:r w:rsidRPr="00A2044C">
        <w:rPr>
          <w:i/>
          <w:iCs/>
          <w:sz w:val="23"/>
          <w:szCs w:val="23"/>
        </w:rPr>
        <w:t>Léger</w:t>
      </w:r>
      <w:proofErr w:type="spellEnd"/>
      <w:r w:rsidRPr="00A2044C">
        <w:rPr>
          <w:i/>
          <w:iCs/>
          <w:sz w:val="23"/>
          <w:szCs w:val="23"/>
        </w:rPr>
        <w:t xml:space="preserve"> v. </w:t>
      </w:r>
      <w:proofErr w:type="spellStart"/>
      <w:r w:rsidRPr="00A2044C">
        <w:rPr>
          <w:i/>
          <w:iCs/>
          <w:sz w:val="23"/>
          <w:szCs w:val="23"/>
        </w:rPr>
        <w:t>France</w:t>
      </w:r>
      <w:proofErr w:type="spellEnd"/>
      <w:r w:rsidR="00AB66DC" w:rsidRPr="00A2044C">
        <w:rPr>
          <w:i/>
          <w:iCs/>
          <w:sz w:val="23"/>
          <w:szCs w:val="23"/>
        </w:rPr>
        <w:t xml:space="preserve"> </w:t>
      </w:r>
      <w:r w:rsidR="00AB66DC" w:rsidRPr="00A2044C">
        <w:rPr>
          <w:iCs/>
          <w:sz w:val="23"/>
          <w:szCs w:val="23"/>
        </w:rPr>
        <w:t>davasında yeğen</w:t>
      </w:r>
      <w:r w:rsidRPr="00A2044C">
        <w:rPr>
          <w:i/>
          <w:iCs/>
          <w:sz w:val="23"/>
          <w:szCs w:val="23"/>
        </w:rPr>
        <w:t xml:space="preserve"> </w:t>
      </w:r>
      <w:r w:rsidRPr="00A2044C">
        <w:rPr>
          <w:sz w:val="23"/>
          <w:szCs w:val="23"/>
        </w:rPr>
        <w:t>[G</w:t>
      </w:r>
      <w:r w:rsidR="008C5013">
        <w:rPr>
          <w:sz w:val="23"/>
          <w:szCs w:val="23"/>
        </w:rPr>
        <w:t>C], no. 19324/02, § 50, 30 Mart</w:t>
      </w:r>
      <w:r w:rsidRPr="00A2044C">
        <w:rPr>
          <w:sz w:val="23"/>
          <w:szCs w:val="23"/>
        </w:rPr>
        <w:t xml:space="preserve"> 2009; </w:t>
      </w:r>
      <w:r w:rsidR="00AB66DC" w:rsidRPr="00A2044C">
        <w:rPr>
          <w:i/>
          <w:iCs/>
          <w:sz w:val="23"/>
          <w:szCs w:val="23"/>
        </w:rPr>
        <w:t xml:space="preserve">M.P. </w:t>
      </w:r>
      <w:proofErr w:type="spellStart"/>
      <w:r w:rsidR="00AB66DC" w:rsidRPr="00A2044C">
        <w:rPr>
          <w:i/>
          <w:iCs/>
          <w:sz w:val="23"/>
          <w:szCs w:val="23"/>
        </w:rPr>
        <w:t>and</w:t>
      </w:r>
      <w:proofErr w:type="spellEnd"/>
      <w:r w:rsidR="00AB66DC" w:rsidRPr="00A2044C">
        <w:rPr>
          <w:i/>
          <w:iCs/>
          <w:sz w:val="23"/>
          <w:szCs w:val="23"/>
        </w:rPr>
        <w:t xml:space="preserve"> </w:t>
      </w:r>
      <w:proofErr w:type="spellStart"/>
      <w:r w:rsidR="00AB66DC" w:rsidRPr="00A2044C">
        <w:rPr>
          <w:i/>
          <w:iCs/>
          <w:sz w:val="23"/>
          <w:szCs w:val="23"/>
        </w:rPr>
        <w:t>Others</w:t>
      </w:r>
      <w:proofErr w:type="spellEnd"/>
      <w:r w:rsidR="00AB66DC" w:rsidRPr="00A2044C">
        <w:rPr>
          <w:i/>
          <w:iCs/>
          <w:sz w:val="23"/>
          <w:szCs w:val="23"/>
        </w:rPr>
        <w:t xml:space="preserve"> v. </w:t>
      </w:r>
      <w:proofErr w:type="spellStart"/>
      <w:r w:rsidR="00AB66DC" w:rsidRPr="00A2044C">
        <w:rPr>
          <w:i/>
          <w:iCs/>
          <w:sz w:val="23"/>
          <w:szCs w:val="23"/>
        </w:rPr>
        <w:t>Bulgaria</w:t>
      </w:r>
      <w:proofErr w:type="spellEnd"/>
      <w:r w:rsidR="00AB66DC" w:rsidRPr="00A2044C">
        <w:rPr>
          <w:i/>
          <w:iCs/>
          <w:sz w:val="23"/>
          <w:szCs w:val="23"/>
        </w:rPr>
        <w:t xml:space="preserve"> </w:t>
      </w:r>
      <w:r w:rsidR="00AB66DC" w:rsidRPr="00A2044C">
        <w:rPr>
          <w:iCs/>
          <w:sz w:val="23"/>
          <w:szCs w:val="23"/>
        </w:rPr>
        <w:t xml:space="preserve">davasında </w:t>
      </w:r>
      <w:r w:rsidR="008C5013">
        <w:rPr>
          <w:iCs/>
          <w:sz w:val="23"/>
          <w:szCs w:val="23"/>
        </w:rPr>
        <w:t xml:space="preserve">genel bir menfaat olmayan ve </w:t>
      </w:r>
      <w:r w:rsidR="00AB66DC" w:rsidRPr="00A2044C">
        <w:rPr>
          <w:iCs/>
          <w:sz w:val="23"/>
          <w:szCs w:val="23"/>
        </w:rPr>
        <w:t>3. ve 8. maddelerde yer alan devredilemez haklarla ilgili başvurucunun kızı</w:t>
      </w:r>
      <w:r w:rsidR="00AB66DC" w:rsidRPr="00A2044C">
        <w:rPr>
          <w:sz w:val="23"/>
          <w:szCs w:val="23"/>
        </w:rPr>
        <w:t xml:space="preserve">, no. 22457/08, §§ 96-100, 15 </w:t>
      </w:r>
      <w:r w:rsidR="008C5013">
        <w:rPr>
          <w:sz w:val="23"/>
          <w:szCs w:val="23"/>
        </w:rPr>
        <w:t>kasım</w:t>
      </w:r>
      <w:r w:rsidR="00AB66DC" w:rsidRPr="00A2044C">
        <w:rPr>
          <w:sz w:val="23"/>
          <w:szCs w:val="23"/>
        </w:rPr>
        <w:t xml:space="preserve"> 2011).</w:t>
      </w:r>
    </w:p>
    <w:p w:rsidR="00E7120B" w:rsidRPr="00A2044C" w:rsidRDefault="00E7120B" w:rsidP="00793892">
      <w:pPr>
        <w:spacing w:before="240"/>
        <w:jc w:val="both"/>
        <w:rPr>
          <w:sz w:val="23"/>
          <w:szCs w:val="23"/>
        </w:rPr>
      </w:pPr>
      <w:r w:rsidRPr="00B6495A">
        <w:rPr>
          <w:b/>
          <w:sz w:val="23"/>
          <w:szCs w:val="23"/>
        </w:rPr>
        <w:t>98.</w:t>
      </w:r>
      <w:r w:rsidRPr="00A2044C">
        <w:rPr>
          <w:sz w:val="23"/>
          <w:szCs w:val="23"/>
        </w:rPr>
        <w:t xml:space="preserve"> Bununla birlikte, doğrudan mağdurun Mahkemeye sunulan başvurudan </w:t>
      </w:r>
      <w:r w:rsidRPr="00A2044C">
        <w:rPr>
          <w:i/>
          <w:sz w:val="23"/>
          <w:szCs w:val="23"/>
        </w:rPr>
        <w:t>önce</w:t>
      </w:r>
      <w:r w:rsidRPr="00A2044C">
        <w:rPr>
          <w:sz w:val="23"/>
          <w:szCs w:val="23"/>
        </w:rPr>
        <w:t xml:space="preserve"> ölmesi hallerinde durum farklılaşır. Bu tür davalarda Mahkeme, “mağdur” kavramının özerk yorumlanmasına atıfla eğer “insan haklarına saygı” (madde 37</w:t>
      </w:r>
      <w:r w:rsidR="00D215C5" w:rsidRPr="00A2044C">
        <w:rPr>
          <w:sz w:val="23"/>
          <w:szCs w:val="23"/>
        </w:rPr>
        <w:t>/1</w:t>
      </w:r>
      <w:r w:rsidRPr="00A2044C">
        <w:rPr>
          <w:sz w:val="23"/>
          <w:szCs w:val="23"/>
        </w:rPr>
        <w:t>)</w:t>
      </w:r>
      <w:r w:rsidR="00D215C5" w:rsidRPr="00A2044C">
        <w:rPr>
          <w:sz w:val="23"/>
          <w:szCs w:val="23"/>
        </w:rPr>
        <w:t xml:space="preserve"> ile ilişkili genel bir </w:t>
      </w:r>
      <w:r w:rsidR="008C5013">
        <w:rPr>
          <w:sz w:val="23"/>
          <w:szCs w:val="23"/>
        </w:rPr>
        <w:t>menfaat</w:t>
      </w:r>
      <w:r w:rsidR="00D215C5" w:rsidRPr="00A2044C">
        <w:rPr>
          <w:sz w:val="23"/>
          <w:szCs w:val="23"/>
        </w:rPr>
        <w:t xml:space="preserve"> içeriyorsa ve mirasçı olarak başvurucuların başvuruyu sürdürmekte meşru bir </w:t>
      </w:r>
      <w:r w:rsidR="008C5013">
        <w:rPr>
          <w:sz w:val="23"/>
          <w:szCs w:val="23"/>
        </w:rPr>
        <w:t xml:space="preserve">menfaati </w:t>
      </w:r>
      <w:r w:rsidR="00D215C5" w:rsidRPr="00A2044C">
        <w:rPr>
          <w:sz w:val="23"/>
          <w:szCs w:val="23"/>
        </w:rPr>
        <w:t>varsa ya da başvuru</w:t>
      </w:r>
      <w:r w:rsidR="008C5013">
        <w:rPr>
          <w:sz w:val="23"/>
          <w:szCs w:val="23"/>
        </w:rPr>
        <w:t>cu</w:t>
      </w:r>
      <w:r w:rsidR="00D215C5" w:rsidRPr="00A2044C">
        <w:rPr>
          <w:sz w:val="23"/>
          <w:szCs w:val="23"/>
        </w:rPr>
        <w:t xml:space="preserve">nun kendi hakları üzerinde doğrudan etkisi varsa </w:t>
      </w:r>
      <w:r w:rsidRPr="00A2044C">
        <w:rPr>
          <w:sz w:val="23"/>
          <w:szCs w:val="23"/>
        </w:rPr>
        <w:t>ilgili kişinin ehliyetini tanıyabil</w:t>
      </w:r>
      <w:r w:rsidR="00D215C5" w:rsidRPr="00A2044C">
        <w:rPr>
          <w:sz w:val="23"/>
          <w:szCs w:val="23"/>
        </w:rPr>
        <w:t>mekted</w:t>
      </w:r>
      <w:r w:rsidRPr="00A2044C">
        <w:rPr>
          <w:sz w:val="23"/>
          <w:szCs w:val="23"/>
        </w:rPr>
        <w:t xml:space="preserve">ir. </w:t>
      </w:r>
      <w:r w:rsidR="00D215C5" w:rsidRPr="00A2044C">
        <w:rPr>
          <w:sz w:val="23"/>
          <w:szCs w:val="23"/>
        </w:rPr>
        <w:t>(</w:t>
      </w:r>
      <w:r w:rsidR="008C5013">
        <w:rPr>
          <w:sz w:val="23"/>
          <w:szCs w:val="23"/>
        </w:rPr>
        <w:t>bkz.</w:t>
      </w:r>
      <w:r w:rsidR="00D215C5" w:rsidRPr="00A2044C">
        <w:rPr>
          <w:sz w:val="23"/>
          <w:szCs w:val="23"/>
        </w:rPr>
        <w:t xml:space="preserve"> </w:t>
      </w:r>
      <w:proofErr w:type="spellStart"/>
      <w:r w:rsidR="00D215C5" w:rsidRPr="00A2044C">
        <w:rPr>
          <w:i/>
          <w:iCs/>
          <w:sz w:val="23"/>
          <w:szCs w:val="23"/>
        </w:rPr>
        <w:t>Micallef</w:t>
      </w:r>
      <w:proofErr w:type="spellEnd"/>
      <w:r w:rsidR="00D215C5" w:rsidRPr="00A2044C">
        <w:rPr>
          <w:i/>
          <w:iCs/>
          <w:sz w:val="23"/>
          <w:szCs w:val="23"/>
        </w:rPr>
        <w:t xml:space="preserve"> v. Malta </w:t>
      </w:r>
      <w:r w:rsidR="00D215C5" w:rsidRPr="00A2044C">
        <w:rPr>
          <w:sz w:val="23"/>
          <w:szCs w:val="23"/>
        </w:rPr>
        <w:t xml:space="preserve">[GC], no. 17056/06, §§ 44-51, ECHR 2009, </w:t>
      </w:r>
      <w:r w:rsidR="008C5013">
        <w:rPr>
          <w:sz w:val="23"/>
          <w:szCs w:val="23"/>
        </w:rPr>
        <w:t>ve</w:t>
      </w:r>
      <w:r w:rsidR="00D215C5" w:rsidRPr="00A2044C">
        <w:rPr>
          <w:sz w:val="23"/>
          <w:szCs w:val="23"/>
        </w:rPr>
        <w:t xml:space="preserve"> </w:t>
      </w:r>
      <w:proofErr w:type="spellStart"/>
      <w:r w:rsidR="00D215C5" w:rsidRPr="00A2044C">
        <w:rPr>
          <w:i/>
          <w:iCs/>
          <w:sz w:val="23"/>
          <w:szCs w:val="23"/>
        </w:rPr>
        <w:t>Marie</w:t>
      </w:r>
      <w:proofErr w:type="spellEnd"/>
      <w:r w:rsidR="00D215C5" w:rsidRPr="00A2044C">
        <w:rPr>
          <w:i/>
          <w:iCs/>
          <w:sz w:val="23"/>
          <w:szCs w:val="23"/>
        </w:rPr>
        <w:t>-</w:t>
      </w:r>
      <w:proofErr w:type="spellStart"/>
      <w:r w:rsidR="00D215C5" w:rsidRPr="00A2044C">
        <w:rPr>
          <w:i/>
          <w:iCs/>
          <w:sz w:val="23"/>
          <w:szCs w:val="23"/>
        </w:rPr>
        <w:t>Louise</w:t>
      </w:r>
      <w:proofErr w:type="spellEnd"/>
      <w:r w:rsidR="00D215C5" w:rsidRPr="00A2044C">
        <w:rPr>
          <w:i/>
          <w:iCs/>
          <w:sz w:val="23"/>
          <w:szCs w:val="23"/>
        </w:rPr>
        <w:t xml:space="preserve"> </w:t>
      </w:r>
      <w:proofErr w:type="spellStart"/>
      <w:r w:rsidR="00D215C5" w:rsidRPr="00A2044C">
        <w:rPr>
          <w:i/>
          <w:iCs/>
          <w:sz w:val="23"/>
          <w:szCs w:val="23"/>
        </w:rPr>
        <w:t>Loyen</w:t>
      </w:r>
      <w:proofErr w:type="spellEnd"/>
      <w:r w:rsidR="00D215C5" w:rsidRPr="00A2044C">
        <w:rPr>
          <w:i/>
          <w:iCs/>
          <w:sz w:val="23"/>
          <w:szCs w:val="23"/>
        </w:rPr>
        <w:t xml:space="preserve"> </w:t>
      </w:r>
      <w:r w:rsidR="008C5013">
        <w:rPr>
          <w:i/>
          <w:iCs/>
          <w:sz w:val="23"/>
          <w:szCs w:val="23"/>
        </w:rPr>
        <w:t>ve</w:t>
      </w:r>
      <w:r w:rsidR="00D215C5" w:rsidRPr="00A2044C">
        <w:rPr>
          <w:i/>
          <w:iCs/>
          <w:sz w:val="23"/>
          <w:szCs w:val="23"/>
        </w:rPr>
        <w:t xml:space="preserve"> </w:t>
      </w:r>
      <w:proofErr w:type="spellStart"/>
      <w:r w:rsidR="00D215C5" w:rsidRPr="00A2044C">
        <w:rPr>
          <w:i/>
          <w:iCs/>
          <w:sz w:val="23"/>
          <w:szCs w:val="23"/>
        </w:rPr>
        <w:t>Bruneel</w:t>
      </w:r>
      <w:proofErr w:type="spellEnd"/>
      <w:r w:rsidR="00D215C5" w:rsidRPr="00A2044C">
        <w:rPr>
          <w:i/>
          <w:iCs/>
          <w:sz w:val="23"/>
          <w:szCs w:val="23"/>
        </w:rPr>
        <w:t xml:space="preserve"> v. </w:t>
      </w:r>
      <w:proofErr w:type="spellStart"/>
      <w:r w:rsidR="00D215C5" w:rsidRPr="00A2044C">
        <w:rPr>
          <w:i/>
          <w:iCs/>
          <w:sz w:val="23"/>
          <w:szCs w:val="23"/>
        </w:rPr>
        <w:t>France</w:t>
      </w:r>
      <w:proofErr w:type="spellEnd"/>
      <w:r w:rsidR="00D215C5" w:rsidRPr="00A2044C">
        <w:rPr>
          <w:sz w:val="23"/>
          <w:szCs w:val="23"/>
        </w:rPr>
        <w:t xml:space="preserve">, no. 55929/00, §§ 21-31, 5 </w:t>
      </w:r>
      <w:r w:rsidR="008C5013">
        <w:rPr>
          <w:sz w:val="23"/>
          <w:szCs w:val="23"/>
        </w:rPr>
        <w:t>Temmuz</w:t>
      </w:r>
      <w:r w:rsidR="00D215C5" w:rsidRPr="00A2044C">
        <w:rPr>
          <w:sz w:val="23"/>
          <w:szCs w:val="23"/>
        </w:rPr>
        <w:t xml:space="preserve"> 2005). Sonda anılan türde davaların doğrudan mağdurun yaşarken dahil olduğu iç hukuk süreciyle ilgili olarak veya bu süreci takiben Mahkemenin önüne geldiği de belirtilmelidir.   </w:t>
      </w:r>
    </w:p>
    <w:p w:rsidR="000E40FC" w:rsidRPr="00A2044C" w:rsidRDefault="00D215C5" w:rsidP="00793892">
      <w:pPr>
        <w:spacing w:before="240"/>
        <w:jc w:val="both"/>
        <w:rPr>
          <w:sz w:val="23"/>
          <w:szCs w:val="23"/>
        </w:rPr>
      </w:pPr>
      <w:r w:rsidRPr="00A2044C">
        <w:rPr>
          <w:sz w:val="23"/>
          <w:szCs w:val="23"/>
        </w:rPr>
        <w:t>Bu nedenle Mahkeme</w:t>
      </w:r>
      <w:r w:rsidR="008C5013">
        <w:rPr>
          <w:sz w:val="23"/>
          <w:szCs w:val="23"/>
        </w:rPr>
        <w:t>, mağdur</w:t>
      </w:r>
      <w:r w:rsidR="000E40FC" w:rsidRPr="00A2044C">
        <w:rPr>
          <w:sz w:val="23"/>
          <w:szCs w:val="23"/>
        </w:rPr>
        <w:t xml:space="preserve"> devletin sorumluluğu olduğu iddia edilen koşullarda ölmüş veya kaybolmuşsa </w:t>
      </w:r>
      <w:r w:rsidRPr="00A2044C">
        <w:rPr>
          <w:sz w:val="23"/>
          <w:szCs w:val="23"/>
        </w:rPr>
        <w:t xml:space="preserve">yakınlarının başvuru yapma yetkisini </w:t>
      </w:r>
      <w:r w:rsidR="000E40FC" w:rsidRPr="00A2044C">
        <w:rPr>
          <w:sz w:val="23"/>
          <w:szCs w:val="23"/>
        </w:rPr>
        <w:t>tanımıştır. (</w:t>
      </w:r>
      <w:proofErr w:type="spellStart"/>
      <w:r w:rsidR="000E40FC" w:rsidRPr="00A2044C">
        <w:rPr>
          <w:sz w:val="23"/>
          <w:szCs w:val="23"/>
        </w:rPr>
        <w:t>see</w:t>
      </w:r>
      <w:proofErr w:type="spellEnd"/>
      <w:r w:rsidR="000E40FC" w:rsidRPr="00A2044C">
        <w:rPr>
          <w:sz w:val="23"/>
          <w:szCs w:val="23"/>
        </w:rPr>
        <w:t xml:space="preserve"> </w:t>
      </w:r>
      <w:r w:rsidR="000E40FC" w:rsidRPr="00A2044C">
        <w:rPr>
          <w:i/>
          <w:iCs/>
          <w:sz w:val="23"/>
          <w:szCs w:val="23"/>
        </w:rPr>
        <w:t xml:space="preserve">Çakıcı v. </w:t>
      </w:r>
      <w:proofErr w:type="spellStart"/>
      <w:r w:rsidR="000E40FC" w:rsidRPr="00A2044C">
        <w:rPr>
          <w:i/>
          <w:iCs/>
          <w:sz w:val="23"/>
          <w:szCs w:val="23"/>
        </w:rPr>
        <w:t>Turkey</w:t>
      </w:r>
      <w:proofErr w:type="spellEnd"/>
      <w:r w:rsidR="000E40FC" w:rsidRPr="00A2044C">
        <w:rPr>
          <w:i/>
          <w:iCs/>
          <w:sz w:val="23"/>
          <w:szCs w:val="23"/>
        </w:rPr>
        <w:t xml:space="preserve"> </w:t>
      </w:r>
      <w:r w:rsidR="000E40FC" w:rsidRPr="00A2044C">
        <w:rPr>
          <w:sz w:val="23"/>
          <w:szCs w:val="23"/>
        </w:rPr>
        <w:t xml:space="preserve">[GC], no. 23657/94, § 92, ECHR 1999-IV, </w:t>
      </w:r>
      <w:proofErr w:type="spellStart"/>
      <w:r w:rsidR="000E40FC" w:rsidRPr="00A2044C">
        <w:rPr>
          <w:sz w:val="23"/>
          <w:szCs w:val="23"/>
        </w:rPr>
        <w:t>and</w:t>
      </w:r>
      <w:proofErr w:type="spellEnd"/>
      <w:r w:rsidR="000E40FC" w:rsidRPr="00A2044C">
        <w:rPr>
          <w:sz w:val="23"/>
          <w:szCs w:val="23"/>
        </w:rPr>
        <w:t xml:space="preserve"> </w:t>
      </w:r>
      <w:proofErr w:type="spellStart"/>
      <w:r w:rsidR="000E40FC" w:rsidRPr="00A2044C">
        <w:rPr>
          <w:i/>
          <w:iCs/>
          <w:sz w:val="23"/>
          <w:szCs w:val="23"/>
        </w:rPr>
        <w:t>Bazorkina</w:t>
      </w:r>
      <w:proofErr w:type="spellEnd"/>
      <w:r w:rsidR="000E40FC" w:rsidRPr="00A2044C">
        <w:rPr>
          <w:i/>
          <w:iCs/>
          <w:sz w:val="23"/>
          <w:szCs w:val="23"/>
        </w:rPr>
        <w:t xml:space="preserve"> v. </w:t>
      </w:r>
      <w:proofErr w:type="spellStart"/>
      <w:r w:rsidR="000E40FC" w:rsidRPr="00A2044C">
        <w:rPr>
          <w:i/>
          <w:iCs/>
          <w:sz w:val="23"/>
          <w:szCs w:val="23"/>
        </w:rPr>
        <w:t>Russia</w:t>
      </w:r>
      <w:proofErr w:type="spellEnd"/>
      <w:r w:rsidR="000E40FC" w:rsidRPr="00A2044C">
        <w:rPr>
          <w:i/>
          <w:iCs/>
          <w:sz w:val="23"/>
          <w:szCs w:val="23"/>
        </w:rPr>
        <w:t xml:space="preserve"> </w:t>
      </w:r>
      <w:r w:rsidR="000E40FC" w:rsidRPr="00A2044C">
        <w:rPr>
          <w:sz w:val="23"/>
          <w:szCs w:val="23"/>
        </w:rPr>
        <w:t>(</w:t>
      </w:r>
      <w:proofErr w:type="spellStart"/>
      <w:r w:rsidR="000E40FC" w:rsidRPr="00A2044C">
        <w:rPr>
          <w:sz w:val="23"/>
          <w:szCs w:val="23"/>
        </w:rPr>
        <w:t>dec</w:t>
      </w:r>
      <w:proofErr w:type="spellEnd"/>
      <w:r w:rsidR="000E40FC" w:rsidRPr="00A2044C">
        <w:rPr>
          <w:sz w:val="23"/>
          <w:szCs w:val="23"/>
        </w:rPr>
        <w:t xml:space="preserve">.), no. 69481/01, 15 </w:t>
      </w:r>
      <w:r w:rsidR="008C5013">
        <w:rPr>
          <w:sz w:val="23"/>
          <w:szCs w:val="23"/>
        </w:rPr>
        <w:t>Eylül</w:t>
      </w:r>
      <w:r w:rsidR="000E40FC" w:rsidRPr="00A2044C">
        <w:rPr>
          <w:sz w:val="23"/>
          <w:szCs w:val="23"/>
        </w:rPr>
        <w:t xml:space="preserve"> 2005).</w:t>
      </w:r>
    </w:p>
    <w:p w:rsidR="00AB30EF" w:rsidRPr="00A2044C" w:rsidRDefault="000E40FC" w:rsidP="00793892">
      <w:pPr>
        <w:spacing w:before="240"/>
        <w:jc w:val="both"/>
        <w:rPr>
          <w:sz w:val="23"/>
          <w:szCs w:val="23"/>
        </w:rPr>
      </w:pPr>
      <w:r w:rsidRPr="00B6495A">
        <w:rPr>
          <w:b/>
          <w:sz w:val="23"/>
          <w:szCs w:val="23"/>
        </w:rPr>
        <w:t>99.</w:t>
      </w:r>
      <w:r w:rsidRPr="00A2044C">
        <w:rPr>
          <w:sz w:val="23"/>
          <w:szCs w:val="23"/>
        </w:rPr>
        <w:t xml:space="preserve"> </w:t>
      </w:r>
      <w:proofErr w:type="spellStart"/>
      <w:r w:rsidRPr="00A2044C">
        <w:rPr>
          <w:i/>
          <w:iCs/>
          <w:sz w:val="23"/>
          <w:szCs w:val="23"/>
        </w:rPr>
        <w:t>Varnava</w:t>
      </w:r>
      <w:proofErr w:type="spellEnd"/>
      <w:r w:rsidRPr="00A2044C">
        <w:rPr>
          <w:i/>
          <w:iCs/>
          <w:sz w:val="23"/>
          <w:szCs w:val="23"/>
        </w:rPr>
        <w:t xml:space="preserve"> </w:t>
      </w:r>
      <w:proofErr w:type="spellStart"/>
      <w:r w:rsidR="008C5013">
        <w:rPr>
          <w:i/>
          <w:iCs/>
          <w:sz w:val="23"/>
          <w:szCs w:val="23"/>
        </w:rPr>
        <w:t>vd</w:t>
      </w:r>
      <w:proofErr w:type="spellEnd"/>
      <w:r w:rsidR="008C5013">
        <w:rPr>
          <w:i/>
          <w:iCs/>
          <w:sz w:val="23"/>
          <w:szCs w:val="23"/>
        </w:rPr>
        <w:t xml:space="preserve">. </w:t>
      </w:r>
      <w:r w:rsidRPr="00A2044C">
        <w:rPr>
          <w:iCs/>
          <w:sz w:val="23"/>
          <w:szCs w:val="23"/>
        </w:rPr>
        <w:t>kararında</w:t>
      </w:r>
      <w:r w:rsidRPr="00A2044C">
        <w:rPr>
          <w:i/>
          <w:iCs/>
          <w:sz w:val="23"/>
          <w:szCs w:val="23"/>
        </w:rPr>
        <w:t xml:space="preserve"> </w:t>
      </w:r>
      <w:r w:rsidRPr="00A2044C">
        <w:rPr>
          <w:sz w:val="23"/>
          <w:szCs w:val="23"/>
        </w:rPr>
        <w:t>(</w:t>
      </w:r>
      <w:r w:rsidR="00AB30EF" w:rsidRPr="00A2044C">
        <w:rPr>
          <w:sz w:val="23"/>
          <w:szCs w:val="23"/>
        </w:rPr>
        <w:t>yukarıda anılmıştır) başvurucular hem kendi adlarına</w:t>
      </w:r>
      <w:r w:rsidR="008C5013">
        <w:rPr>
          <w:sz w:val="23"/>
          <w:szCs w:val="23"/>
        </w:rPr>
        <w:t>,</w:t>
      </w:r>
      <w:r w:rsidR="00AB30EF" w:rsidRPr="00A2044C">
        <w:rPr>
          <w:sz w:val="23"/>
          <w:szCs w:val="23"/>
        </w:rPr>
        <w:t xml:space="preserve"> hem de kaybolan yakınları adına başvuru yapmışlardır. Mahkeme kayıp kişinin </w:t>
      </w:r>
      <w:r w:rsidR="008C5013">
        <w:rPr>
          <w:sz w:val="23"/>
          <w:szCs w:val="23"/>
        </w:rPr>
        <w:t xml:space="preserve">yakınlarına </w:t>
      </w:r>
      <w:r w:rsidR="00AB30EF" w:rsidRPr="00A2044C">
        <w:rPr>
          <w:sz w:val="23"/>
          <w:szCs w:val="23"/>
        </w:rPr>
        <w:t xml:space="preserve">başvurucu statüsü tanınması gerekip gerekmeyeceğine hükmetme gereği duymamıştır, çünkü her koşulda </w:t>
      </w:r>
      <w:r w:rsidR="001C3E70" w:rsidRPr="00A2044C">
        <w:rPr>
          <w:sz w:val="23"/>
          <w:szCs w:val="23"/>
        </w:rPr>
        <w:t>kayıp bir kişinin yakınları bu kişinin kaybolmasıyla ilgili olarak şikayette bulunmaya yetkilidir. (</w:t>
      </w:r>
      <w:proofErr w:type="spellStart"/>
      <w:r w:rsidR="001C3E70" w:rsidRPr="00A2044C">
        <w:rPr>
          <w:sz w:val="23"/>
          <w:szCs w:val="23"/>
        </w:rPr>
        <w:t>ibid</w:t>
      </w:r>
      <w:proofErr w:type="spellEnd"/>
      <w:r w:rsidR="001C3E70" w:rsidRPr="00A2044C">
        <w:rPr>
          <w:sz w:val="23"/>
          <w:szCs w:val="23"/>
        </w:rPr>
        <w:t xml:space="preserve">., § 112) Mahkeme </w:t>
      </w:r>
      <w:r w:rsidR="003E1CC2" w:rsidRPr="00A2044C">
        <w:rPr>
          <w:sz w:val="23"/>
          <w:szCs w:val="23"/>
        </w:rPr>
        <w:t>kayıp kişilerin yakınlarının Sözleşmenin 34. Maddesinin amacı bakımından başvurucu oldukları yönünde değerlendirm</w:t>
      </w:r>
      <w:r w:rsidR="008C5013">
        <w:rPr>
          <w:sz w:val="23"/>
          <w:szCs w:val="23"/>
        </w:rPr>
        <w:t xml:space="preserve">e yapmıştır. </w:t>
      </w:r>
    </w:p>
    <w:p w:rsidR="00175243" w:rsidRPr="00A2044C" w:rsidRDefault="003E1CC2" w:rsidP="00793892">
      <w:pPr>
        <w:spacing w:before="240"/>
        <w:jc w:val="both"/>
        <w:rPr>
          <w:i/>
          <w:iCs/>
          <w:sz w:val="23"/>
          <w:szCs w:val="23"/>
        </w:rPr>
      </w:pPr>
      <w:r w:rsidRPr="00B6495A">
        <w:rPr>
          <w:b/>
          <w:sz w:val="23"/>
          <w:szCs w:val="23"/>
        </w:rPr>
        <w:t>100.</w:t>
      </w:r>
      <w:r w:rsidRPr="00A2044C">
        <w:rPr>
          <w:sz w:val="23"/>
          <w:szCs w:val="23"/>
        </w:rPr>
        <w:t xml:space="preserve"> Sözleşmenin ihlal edildiği iddiasını içeren 2. Maddeyle ilgili kaybolma veya ölümlerle yakından bağlantılı olmayan davalarda Mahkemenin yaklaşımı intihara yardım etmenin yasaklanmasına ilişkin </w:t>
      </w:r>
      <w:proofErr w:type="spellStart"/>
      <w:r w:rsidRPr="00A2044C">
        <w:rPr>
          <w:i/>
          <w:iCs/>
          <w:sz w:val="23"/>
          <w:szCs w:val="23"/>
        </w:rPr>
        <w:t>Sanles</w:t>
      </w:r>
      <w:proofErr w:type="spellEnd"/>
      <w:r w:rsidRPr="00A2044C">
        <w:rPr>
          <w:i/>
          <w:iCs/>
          <w:sz w:val="23"/>
          <w:szCs w:val="23"/>
        </w:rPr>
        <w:t xml:space="preserve"> </w:t>
      </w:r>
      <w:proofErr w:type="spellStart"/>
      <w:r w:rsidRPr="00A2044C">
        <w:rPr>
          <w:i/>
          <w:iCs/>
          <w:sz w:val="23"/>
          <w:szCs w:val="23"/>
        </w:rPr>
        <w:t>Sanles</w:t>
      </w:r>
      <w:proofErr w:type="spellEnd"/>
      <w:r w:rsidRPr="00A2044C">
        <w:rPr>
          <w:i/>
          <w:iCs/>
          <w:sz w:val="23"/>
          <w:szCs w:val="23"/>
        </w:rPr>
        <w:t xml:space="preserve"> v. </w:t>
      </w:r>
      <w:proofErr w:type="spellStart"/>
      <w:r w:rsidRPr="00A2044C">
        <w:rPr>
          <w:i/>
          <w:iCs/>
          <w:sz w:val="23"/>
          <w:szCs w:val="23"/>
        </w:rPr>
        <w:t>Spain</w:t>
      </w:r>
      <w:proofErr w:type="spellEnd"/>
      <w:r w:rsidRPr="00A2044C">
        <w:rPr>
          <w:i/>
          <w:iCs/>
          <w:sz w:val="23"/>
          <w:szCs w:val="23"/>
        </w:rPr>
        <w:t xml:space="preserve"> </w:t>
      </w:r>
      <w:r w:rsidRPr="00A2044C">
        <w:rPr>
          <w:sz w:val="23"/>
          <w:szCs w:val="23"/>
        </w:rPr>
        <w:t>((</w:t>
      </w:r>
      <w:proofErr w:type="spellStart"/>
      <w:r w:rsidRPr="00A2044C">
        <w:rPr>
          <w:sz w:val="23"/>
          <w:szCs w:val="23"/>
        </w:rPr>
        <w:t>dec</w:t>
      </w:r>
      <w:proofErr w:type="spellEnd"/>
      <w:r w:rsidRPr="00A2044C">
        <w:rPr>
          <w:sz w:val="23"/>
          <w:szCs w:val="23"/>
        </w:rPr>
        <w:t xml:space="preserve">.), no. 48335/99, ECHR 2000-XI davasında </w:t>
      </w:r>
      <w:r w:rsidRPr="00A2044C">
        <w:rPr>
          <w:sz w:val="23"/>
          <w:szCs w:val="23"/>
        </w:rPr>
        <w:lastRenderedPageBreak/>
        <w:t xml:space="preserve">olduğu gibi daha katı olagelmiştir. Mahkeme, Sözleşmenin 2,3,5,8,9 ve 14. Maddelerle ilgili başvurulardaki hakların devredilemez haklar kategorisine ait olduğunu ve bu nedenle merhumun </w:t>
      </w:r>
      <w:r w:rsidR="00175243" w:rsidRPr="00A2044C">
        <w:rPr>
          <w:sz w:val="23"/>
          <w:szCs w:val="23"/>
        </w:rPr>
        <w:t xml:space="preserve">eşinin kardeşi ve mirasçısı olan </w:t>
      </w:r>
      <w:r w:rsidRPr="00A2044C">
        <w:rPr>
          <w:sz w:val="23"/>
          <w:szCs w:val="23"/>
        </w:rPr>
        <w:t xml:space="preserve">başvurucu </w:t>
      </w:r>
      <w:r w:rsidR="00175243" w:rsidRPr="00A2044C">
        <w:rPr>
          <w:sz w:val="23"/>
          <w:szCs w:val="23"/>
        </w:rPr>
        <w:t xml:space="preserve">merhum adına bir ihlalin mağduru olduğunu iddia edemeyeceğine karar vermiştir. Mağdurun kızı tarafından 9. </w:t>
      </w:r>
      <w:r w:rsidR="008C5013">
        <w:rPr>
          <w:sz w:val="23"/>
          <w:szCs w:val="23"/>
        </w:rPr>
        <w:t>v</w:t>
      </w:r>
      <w:r w:rsidR="00175243" w:rsidRPr="00A2044C">
        <w:rPr>
          <w:sz w:val="23"/>
          <w:szCs w:val="23"/>
        </w:rPr>
        <w:t xml:space="preserve">e 10. </w:t>
      </w:r>
      <w:r w:rsidR="008C5013">
        <w:rPr>
          <w:sz w:val="23"/>
          <w:szCs w:val="23"/>
        </w:rPr>
        <w:t>m</w:t>
      </w:r>
      <w:r w:rsidR="00175243" w:rsidRPr="00A2044C">
        <w:rPr>
          <w:sz w:val="23"/>
          <w:szCs w:val="23"/>
        </w:rPr>
        <w:t>addelerle ilgili yapılan başvurularda da aynı sonuca varılmıştır. (</w:t>
      </w:r>
      <w:r w:rsidR="008C5013">
        <w:rPr>
          <w:sz w:val="23"/>
          <w:szCs w:val="23"/>
        </w:rPr>
        <w:t xml:space="preserve">Yukarıda </w:t>
      </w:r>
      <w:r w:rsidR="00175243" w:rsidRPr="00A2044C">
        <w:rPr>
          <w:sz w:val="23"/>
          <w:szCs w:val="23"/>
        </w:rPr>
        <w:t xml:space="preserve">Bkz. </w:t>
      </w:r>
      <w:proofErr w:type="spellStart"/>
      <w:r w:rsidR="00175243" w:rsidRPr="00A2044C">
        <w:rPr>
          <w:i/>
          <w:iCs/>
          <w:sz w:val="23"/>
          <w:szCs w:val="23"/>
        </w:rPr>
        <w:t>Fairfield</w:t>
      </w:r>
      <w:proofErr w:type="spellEnd"/>
      <w:r w:rsidR="00175243" w:rsidRPr="00A2044C">
        <w:rPr>
          <w:i/>
          <w:iCs/>
          <w:sz w:val="23"/>
          <w:szCs w:val="23"/>
        </w:rPr>
        <w:t xml:space="preserve"> </w:t>
      </w:r>
      <w:proofErr w:type="spellStart"/>
      <w:r w:rsidR="00175243" w:rsidRPr="00A2044C">
        <w:rPr>
          <w:i/>
          <w:iCs/>
          <w:sz w:val="23"/>
          <w:szCs w:val="23"/>
        </w:rPr>
        <w:t>vd</w:t>
      </w:r>
      <w:proofErr w:type="spellEnd"/>
      <w:r w:rsidR="008C5013">
        <w:rPr>
          <w:i/>
          <w:iCs/>
          <w:sz w:val="23"/>
          <w:szCs w:val="23"/>
        </w:rPr>
        <w:t>.</w:t>
      </w:r>
      <w:r w:rsidR="00175243" w:rsidRPr="00A2044C">
        <w:rPr>
          <w:i/>
          <w:iCs/>
          <w:sz w:val="23"/>
          <w:szCs w:val="23"/>
        </w:rPr>
        <w:t>)</w:t>
      </w:r>
    </w:p>
    <w:p w:rsidR="00175243" w:rsidRPr="00A2044C" w:rsidRDefault="00175243" w:rsidP="00793892">
      <w:pPr>
        <w:spacing w:before="240"/>
        <w:jc w:val="both"/>
        <w:rPr>
          <w:sz w:val="23"/>
          <w:szCs w:val="23"/>
        </w:rPr>
      </w:pPr>
      <w:r w:rsidRPr="00A2044C">
        <w:rPr>
          <w:sz w:val="23"/>
          <w:szCs w:val="23"/>
        </w:rPr>
        <w:t>5,</w:t>
      </w:r>
      <w:r w:rsidR="008C5013">
        <w:rPr>
          <w:sz w:val="23"/>
          <w:szCs w:val="23"/>
        </w:rPr>
        <w:t xml:space="preserve"> </w:t>
      </w:r>
      <w:r w:rsidRPr="00A2044C">
        <w:rPr>
          <w:sz w:val="23"/>
          <w:szCs w:val="23"/>
        </w:rPr>
        <w:t xml:space="preserve">6 ya da 8. </w:t>
      </w:r>
      <w:r w:rsidR="008C5013">
        <w:rPr>
          <w:sz w:val="23"/>
          <w:szCs w:val="23"/>
        </w:rPr>
        <w:t>m</w:t>
      </w:r>
      <w:r w:rsidRPr="00A2044C">
        <w:rPr>
          <w:sz w:val="23"/>
          <w:szCs w:val="23"/>
        </w:rPr>
        <w:t xml:space="preserve">addelerle ilgili başka başvurularda Mahkeme </w:t>
      </w:r>
      <w:r w:rsidR="00A65395" w:rsidRPr="00A2044C">
        <w:rPr>
          <w:sz w:val="23"/>
          <w:szCs w:val="23"/>
        </w:rPr>
        <w:t xml:space="preserve">suç bulgularının aklanmasında </w:t>
      </w:r>
      <w:r w:rsidR="00A65395" w:rsidRPr="008C5013">
        <w:rPr>
          <w:color w:val="FF0000"/>
          <w:sz w:val="23"/>
          <w:szCs w:val="23"/>
        </w:rPr>
        <w:t>sonraki mağdur</w:t>
      </w:r>
      <w:r w:rsidR="00A65395" w:rsidRPr="00A2044C">
        <w:rPr>
          <w:sz w:val="23"/>
          <w:szCs w:val="23"/>
        </w:rPr>
        <w:t xml:space="preserve"> olarak </w:t>
      </w:r>
      <w:r w:rsidR="008C5013">
        <w:rPr>
          <w:sz w:val="23"/>
          <w:szCs w:val="23"/>
        </w:rPr>
        <w:t>(Bkz</w:t>
      </w:r>
      <w:r w:rsidR="00A65395" w:rsidRPr="00A2044C">
        <w:rPr>
          <w:sz w:val="23"/>
          <w:szCs w:val="23"/>
        </w:rPr>
        <w:t xml:space="preserve"> </w:t>
      </w:r>
      <w:proofErr w:type="spellStart"/>
      <w:r w:rsidR="00A65395" w:rsidRPr="00A2044C">
        <w:rPr>
          <w:i/>
          <w:iCs/>
          <w:sz w:val="23"/>
          <w:szCs w:val="23"/>
        </w:rPr>
        <w:t>Nölkenbockhoff</w:t>
      </w:r>
      <w:proofErr w:type="spellEnd"/>
      <w:r w:rsidR="00A65395" w:rsidRPr="00A2044C">
        <w:rPr>
          <w:i/>
          <w:iCs/>
          <w:sz w:val="23"/>
          <w:szCs w:val="23"/>
        </w:rPr>
        <w:t xml:space="preserve"> v. </w:t>
      </w:r>
      <w:proofErr w:type="spellStart"/>
      <w:r w:rsidR="00A65395" w:rsidRPr="00A2044C">
        <w:rPr>
          <w:i/>
          <w:iCs/>
          <w:sz w:val="23"/>
          <w:szCs w:val="23"/>
        </w:rPr>
        <w:t>Germany</w:t>
      </w:r>
      <w:proofErr w:type="spellEnd"/>
      <w:r w:rsidR="008C5013">
        <w:rPr>
          <w:sz w:val="23"/>
          <w:szCs w:val="23"/>
        </w:rPr>
        <w:t>, no. 10300/83, § 33, 25 Ağustos</w:t>
      </w:r>
      <w:r w:rsidR="00A65395" w:rsidRPr="00A2044C">
        <w:rPr>
          <w:sz w:val="23"/>
          <w:szCs w:val="23"/>
        </w:rPr>
        <w:t xml:space="preserve"> 1987, </w:t>
      </w:r>
      <w:r w:rsidR="008C5013">
        <w:rPr>
          <w:sz w:val="23"/>
          <w:szCs w:val="23"/>
        </w:rPr>
        <w:t>ve</w:t>
      </w:r>
      <w:r w:rsidR="00A65395" w:rsidRPr="00A2044C">
        <w:rPr>
          <w:sz w:val="23"/>
          <w:szCs w:val="23"/>
        </w:rPr>
        <w:t xml:space="preserve"> </w:t>
      </w:r>
      <w:proofErr w:type="spellStart"/>
      <w:r w:rsidR="00A65395" w:rsidRPr="00A2044C">
        <w:rPr>
          <w:i/>
          <w:iCs/>
          <w:sz w:val="23"/>
          <w:szCs w:val="23"/>
        </w:rPr>
        <w:t>Grădinar</w:t>
      </w:r>
      <w:proofErr w:type="spellEnd"/>
      <w:r w:rsidR="00A65395" w:rsidRPr="00A2044C">
        <w:rPr>
          <w:i/>
          <w:iCs/>
          <w:sz w:val="23"/>
          <w:szCs w:val="23"/>
        </w:rPr>
        <w:t xml:space="preserve"> v. Moldova</w:t>
      </w:r>
      <w:r w:rsidR="00A65395" w:rsidRPr="00A2044C">
        <w:rPr>
          <w:sz w:val="23"/>
          <w:szCs w:val="23"/>
        </w:rPr>
        <w:t xml:space="preserve">, no. 7170/02, §§ 95 </w:t>
      </w:r>
      <w:proofErr w:type="spellStart"/>
      <w:r w:rsidR="00A65395" w:rsidRPr="00A2044C">
        <w:rPr>
          <w:sz w:val="23"/>
          <w:szCs w:val="23"/>
        </w:rPr>
        <w:t>and</w:t>
      </w:r>
      <w:proofErr w:type="spellEnd"/>
      <w:r w:rsidR="00A65395" w:rsidRPr="00A2044C">
        <w:rPr>
          <w:sz w:val="23"/>
          <w:szCs w:val="23"/>
        </w:rPr>
        <w:t xml:space="preserve"> 97-98, 8 </w:t>
      </w:r>
      <w:r w:rsidR="008C5013">
        <w:rPr>
          <w:sz w:val="23"/>
          <w:szCs w:val="23"/>
        </w:rPr>
        <w:t>nisan</w:t>
      </w:r>
      <w:r w:rsidR="00A65395" w:rsidRPr="00A2044C">
        <w:rPr>
          <w:sz w:val="23"/>
          <w:szCs w:val="23"/>
        </w:rPr>
        <w:t xml:space="preserve"> 2008)  veya kendisinin ve ailesinin şöhretini korumakta </w:t>
      </w:r>
      <w:r w:rsidR="008C5013">
        <w:rPr>
          <w:sz w:val="23"/>
          <w:szCs w:val="23"/>
        </w:rPr>
        <w:t>manevi</w:t>
      </w:r>
      <w:r w:rsidR="00A65395" w:rsidRPr="00A2044C">
        <w:rPr>
          <w:sz w:val="23"/>
          <w:szCs w:val="23"/>
        </w:rPr>
        <w:t xml:space="preserve"> bir </w:t>
      </w:r>
      <w:r w:rsidR="008C5013">
        <w:rPr>
          <w:sz w:val="23"/>
          <w:szCs w:val="23"/>
        </w:rPr>
        <w:t>menfaati</w:t>
      </w:r>
      <w:r w:rsidR="00A65395" w:rsidRPr="00A2044C">
        <w:rPr>
          <w:sz w:val="23"/>
          <w:szCs w:val="23"/>
        </w:rPr>
        <w:t xml:space="preserve"> bulunan </w:t>
      </w:r>
      <w:r w:rsidR="008C5013">
        <w:rPr>
          <w:sz w:val="23"/>
          <w:szCs w:val="23"/>
        </w:rPr>
        <w:t>(Bkz.</w:t>
      </w:r>
      <w:r w:rsidR="00A65395" w:rsidRPr="00A2044C">
        <w:rPr>
          <w:sz w:val="23"/>
          <w:szCs w:val="23"/>
        </w:rPr>
        <w:t xml:space="preserve"> </w:t>
      </w:r>
      <w:proofErr w:type="spellStart"/>
      <w:r w:rsidR="00A65395" w:rsidRPr="00A2044C">
        <w:rPr>
          <w:i/>
          <w:iCs/>
          <w:sz w:val="23"/>
          <w:szCs w:val="23"/>
        </w:rPr>
        <w:t>Brudnicka</w:t>
      </w:r>
      <w:proofErr w:type="spellEnd"/>
      <w:r w:rsidR="00A65395" w:rsidRPr="00A2044C">
        <w:rPr>
          <w:i/>
          <w:iCs/>
          <w:sz w:val="23"/>
          <w:szCs w:val="23"/>
        </w:rPr>
        <w:t xml:space="preserve"> </w:t>
      </w:r>
      <w:proofErr w:type="spellStart"/>
      <w:r w:rsidR="008C5013">
        <w:rPr>
          <w:i/>
          <w:iCs/>
          <w:sz w:val="23"/>
          <w:szCs w:val="23"/>
        </w:rPr>
        <w:t>vd</w:t>
      </w:r>
      <w:proofErr w:type="spellEnd"/>
      <w:r w:rsidR="008C5013">
        <w:rPr>
          <w:i/>
          <w:iCs/>
          <w:sz w:val="23"/>
          <w:szCs w:val="23"/>
        </w:rPr>
        <w:t>.</w:t>
      </w:r>
      <w:r w:rsidR="00A65395" w:rsidRPr="00A2044C">
        <w:rPr>
          <w:i/>
          <w:iCs/>
          <w:sz w:val="23"/>
          <w:szCs w:val="23"/>
        </w:rPr>
        <w:t xml:space="preserve"> v. </w:t>
      </w:r>
      <w:proofErr w:type="spellStart"/>
      <w:r w:rsidR="00A65395" w:rsidRPr="00A2044C">
        <w:rPr>
          <w:i/>
          <w:iCs/>
          <w:sz w:val="23"/>
          <w:szCs w:val="23"/>
        </w:rPr>
        <w:t>Poland</w:t>
      </w:r>
      <w:proofErr w:type="spellEnd"/>
      <w:r w:rsidR="00A65395" w:rsidRPr="00A2044C">
        <w:rPr>
          <w:sz w:val="23"/>
          <w:szCs w:val="23"/>
        </w:rPr>
        <w:t xml:space="preserve">, no. 54723/00, §§ 27-31, ECHR 2005-II; </w:t>
      </w:r>
      <w:proofErr w:type="spellStart"/>
      <w:r w:rsidR="00A65395" w:rsidRPr="00A2044C">
        <w:rPr>
          <w:i/>
          <w:iCs/>
          <w:sz w:val="23"/>
          <w:szCs w:val="23"/>
        </w:rPr>
        <w:t>Armonienė</w:t>
      </w:r>
      <w:proofErr w:type="spellEnd"/>
      <w:r w:rsidR="00A65395" w:rsidRPr="00A2044C">
        <w:rPr>
          <w:i/>
          <w:iCs/>
          <w:sz w:val="23"/>
          <w:szCs w:val="23"/>
        </w:rPr>
        <w:t xml:space="preserve"> v. </w:t>
      </w:r>
      <w:proofErr w:type="spellStart"/>
      <w:r w:rsidR="00A65395" w:rsidRPr="00A2044C">
        <w:rPr>
          <w:i/>
          <w:iCs/>
          <w:sz w:val="23"/>
          <w:szCs w:val="23"/>
        </w:rPr>
        <w:t>Lithuania</w:t>
      </w:r>
      <w:proofErr w:type="spellEnd"/>
      <w:r w:rsidR="00A65395" w:rsidRPr="00A2044C">
        <w:rPr>
          <w:sz w:val="23"/>
          <w:szCs w:val="23"/>
        </w:rPr>
        <w:t xml:space="preserve">, no. 36919/02, § 29, 25 </w:t>
      </w:r>
      <w:r w:rsidR="008C5013">
        <w:rPr>
          <w:sz w:val="23"/>
          <w:szCs w:val="23"/>
        </w:rPr>
        <w:t xml:space="preserve">Kasım </w:t>
      </w:r>
      <w:r w:rsidR="00A65395" w:rsidRPr="00A2044C">
        <w:rPr>
          <w:sz w:val="23"/>
          <w:szCs w:val="23"/>
        </w:rPr>
        <w:t xml:space="preserve">2008; </w:t>
      </w:r>
      <w:r w:rsidR="008C5013">
        <w:rPr>
          <w:sz w:val="23"/>
          <w:szCs w:val="23"/>
        </w:rPr>
        <w:t xml:space="preserve">ve </w:t>
      </w:r>
      <w:proofErr w:type="spellStart"/>
      <w:r w:rsidR="00A65395" w:rsidRPr="00A2044C">
        <w:rPr>
          <w:i/>
          <w:iCs/>
          <w:sz w:val="23"/>
          <w:szCs w:val="23"/>
        </w:rPr>
        <w:t>Polanco</w:t>
      </w:r>
      <w:proofErr w:type="spellEnd"/>
      <w:r w:rsidR="00A65395" w:rsidRPr="00A2044C">
        <w:rPr>
          <w:i/>
          <w:iCs/>
          <w:sz w:val="23"/>
          <w:szCs w:val="23"/>
        </w:rPr>
        <w:t xml:space="preserve"> </w:t>
      </w:r>
      <w:proofErr w:type="spellStart"/>
      <w:r w:rsidR="00A65395" w:rsidRPr="00A2044C">
        <w:rPr>
          <w:i/>
          <w:iCs/>
          <w:sz w:val="23"/>
          <w:szCs w:val="23"/>
        </w:rPr>
        <w:t>Torres</w:t>
      </w:r>
      <w:proofErr w:type="spellEnd"/>
      <w:r w:rsidR="00A65395" w:rsidRPr="00A2044C">
        <w:rPr>
          <w:i/>
          <w:iCs/>
          <w:sz w:val="23"/>
          <w:szCs w:val="23"/>
        </w:rPr>
        <w:t xml:space="preserve"> </w:t>
      </w:r>
      <w:r w:rsidR="008C5013">
        <w:rPr>
          <w:i/>
          <w:iCs/>
          <w:sz w:val="23"/>
          <w:szCs w:val="23"/>
        </w:rPr>
        <w:t>ve</w:t>
      </w:r>
      <w:r w:rsidR="00A65395" w:rsidRPr="00A2044C">
        <w:rPr>
          <w:i/>
          <w:iCs/>
          <w:sz w:val="23"/>
          <w:szCs w:val="23"/>
        </w:rPr>
        <w:t xml:space="preserve"> </w:t>
      </w:r>
      <w:proofErr w:type="spellStart"/>
      <w:r w:rsidR="00A65395" w:rsidRPr="00A2044C">
        <w:rPr>
          <w:i/>
          <w:iCs/>
          <w:sz w:val="23"/>
          <w:szCs w:val="23"/>
        </w:rPr>
        <w:t>Movilla</w:t>
      </w:r>
      <w:proofErr w:type="spellEnd"/>
      <w:r w:rsidR="00A65395" w:rsidRPr="00A2044C">
        <w:rPr>
          <w:i/>
          <w:iCs/>
          <w:sz w:val="23"/>
          <w:szCs w:val="23"/>
        </w:rPr>
        <w:t xml:space="preserve"> </w:t>
      </w:r>
      <w:proofErr w:type="spellStart"/>
      <w:r w:rsidR="00A65395" w:rsidRPr="00A2044C">
        <w:rPr>
          <w:i/>
          <w:iCs/>
          <w:sz w:val="23"/>
          <w:szCs w:val="23"/>
        </w:rPr>
        <w:t>Polanco</w:t>
      </w:r>
      <w:proofErr w:type="spellEnd"/>
      <w:r w:rsidR="00A65395" w:rsidRPr="00A2044C">
        <w:rPr>
          <w:i/>
          <w:iCs/>
          <w:sz w:val="23"/>
          <w:szCs w:val="23"/>
        </w:rPr>
        <w:t xml:space="preserve"> v. </w:t>
      </w:r>
      <w:proofErr w:type="spellStart"/>
      <w:r w:rsidR="00A65395" w:rsidRPr="00A2044C">
        <w:rPr>
          <w:i/>
          <w:iCs/>
          <w:sz w:val="23"/>
          <w:szCs w:val="23"/>
        </w:rPr>
        <w:t>Spain</w:t>
      </w:r>
      <w:proofErr w:type="spellEnd"/>
      <w:r w:rsidR="00A65395" w:rsidRPr="00A2044C">
        <w:rPr>
          <w:sz w:val="23"/>
          <w:szCs w:val="23"/>
        </w:rPr>
        <w:t xml:space="preserve">, no. 34147/06, §§ 31-33, 21 </w:t>
      </w:r>
      <w:r w:rsidR="008C5013">
        <w:rPr>
          <w:sz w:val="23"/>
          <w:szCs w:val="23"/>
        </w:rPr>
        <w:t xml:space="preserve">Eylül </w:t>
      </w:r>
      <w:r w:rsidR="00A65395" w:rsidRPr="00A2044C">
        <w:rPr>
          <w:sz w:val="23"/>
          <w:szCs w:val="23"/>
        </w:rPr>
        <w:t xml:space="preserve">2010) ya da kendi mali haklarına doğrudan etkisi olmasıyla maddi bir </w:t>
      </w:r>
      <w:r w:rsidR="008C5013">
        <w:rPr>
          <w:sz w:val="23"/>
          <w:szCs w:val="23"/>
        </w:rPr>
        <w:t>menfaati</w:t>
      </w:r>
      <w:r w:rsidR="00A65395" w:rsidRPr="00A2044C">
        <w:rPr>
          <w:sz w:val="23"/>
          <w:szCs w:val="23"/>
        </w:rPr>
        <w:t xml:space="preserve"> olan durumlarda </w:t>
      </w:r>
      <w:r w:rsidRPr="00A2044C">
        <w:rPr>
          <w:sz w:val="23"/>
          <w:szCs w:val="23"/>
        </w:rPr>
        <w:t>yakın akrabalara mağdur statüsü tanımıştır</w:t>
      </w:r>
      <w:r w:rsidR="00A65395" w:rsidRPr="00A2044C">
        <w:rPr>
          <w:sz w:val="23"/>
          <w:szCs w:val="23"/>
        </w:rPr>
        <w:t xml:space="preserve">. </w:t>
      </w:r>
      <w:r w:rsidRPr="00A2044C">
        <w:rPr>
          <w:sz w:val="23"/>
          <w:szCs w:val="23"/>
        </w:rPr>
        <w:t xml:space="preserve"> </w:t>
      </w:r>
      <w:r w:rsidR="00A65395" w:rsidRPr="00A2044C">
        <w:rPr>
          <w:sz w:val="23"/>
          <w:szCs w:val="23"/>
        </w:rPr>
        <w:t>(</w:t>
      </w:r>
      <w:r w:rsidR="008C5013">
        <w:rPr>
          <w:sz w:val="23"/>
          <w:szCs w:val="23"/>
        </w:rPr>
        <w:t>Bkz.</w:t>
      </w:r>
      <w:r w:rsidR="00A65395" w:rsidRPr="00A2044C">
        <w:rPr>
          <w:sz w:val="23"/>
          <w:szCs w:val="23"/>
        </w:rPr>
        <w:t xml:space="preserve"> </w:t>
      </w:r>
      <w:proofErr w:type="spellStart"/>
      <w:r w:rsidR="00A65395" w:rsidRPr="00A2044C">
        <w:rPr>
          <w:i/>
          <w:iCs/>
          <w:sz w:val="23"/>
          <w:szCs w:val="23"/>
        </w:rPr>
        <w:t>Ressegatti</w:t>
      </w:r>
      <w:proofErr w:type="spellEnd"/>
      <w:r w:rsidR="00A65395" w:rsidRPr="00A2044C">
        <w:rPr>
          <w:i/>
          <w:iCs/>
          <w:sz w:val="23"/>
          <w:szCs w:val="23"/>
        </w:rPr>
        <w:t xml:space="preserve"> v. </w:t>
      </w:r>
      <w:proofErr w:type="spellStart"/>
      <w:r w:rsidR="00A65395" w:rsidRPr="00A2044C">
        <w:rPr>
          <w:i/>
          <w:iCs/>
          <w:sz w:val="23"/>
          <w:szCs w:val="23"/>
        </w:rPr>
        <w:t>Switzerland</w:t>
      </w:r>
      <w:proofErr w:type="spellEnd"/>
      <w:r w:rsidR="00A65395" w:rsidRPr="00A2044C">
        <w:rPr>
          <w:sz w:val="23"/>
          <w:szCs w:val="23"/>
        </w:rPr>
        <w:t xml:space="preserve">, no. 17671/02, §§ 23-25, 13 </w:t>
      </w:r>
      <w:r w:rsidR="008C5013">
        <w:rPr>
          <w:sz w:val="23"/>
          <w:szCs w:val="23"/>
        </w:rPr>
        <w:t>Temmuz</w:t>
      </w:r>
      <w:r w:rsidR="00A65395" w:rsidRPr="00A2044C">
        <w:rPr>
          <w:sz w:val="23"/>
          <w:szCs w:val="23"/>
        </w:rPr>
        <w:t xml:space="preserve"> 2006; </w:t>
      </w:r>
      <w:r w:rsidR="008C5013">
        <w:rPr>
          <w:sz w:val="23"/>
          <w:szCs w:val="23"/>
        </w:rPr>
        <w:t xml:space="preserve">ve </w:t>
      </w:r>
      <w:proofErr w:type="spellStart"/>
      <w:r w:rsidR="00A65395" w:rsidRPr="00A2044C">
        <w:rPr>
          <w:i/>
          <w:iCs/>
          <w:sz w:val="23"/>
          <w:szCs w:val="23"/>
        </w:rPr>
        <w:t>Marie</w:t>
      </w:r>
      <w:proofErr w:type="spellEnd"/>
      <w:r w:rsidR="00A65395" w:rsidRPr="00A2044C">
        <w:rPr>
          <w:i/>
          <w:iCs/>
          <w:sz w:val="23"/>
          <w:szCs w:val="23"/>
        </w:rPr>
        <w:t>-</w:t>
      </w:r>
      <w:proofErr w:type="spellStart"/>
      <w:r w:rsidR="00A65395" w:rsidRPr="00A2044C">
        <w:rPr>
          <w:i/>
          <w:iCs/>
          <w:sz w:val="23"/>
          <w:szCs w:val="23"/>
        </w:rPr>
        <w:t>Louise</w:t>
      </w:r>
      <w:proofErr w:type="spellEnd"/>
      <w:r w:rsidR="00A65395" w:rsidRPr="00A2044C">
        <w:rPr>
          <w:i/>
          <w:iCs/>
          <w:sz w:val="23"/>
          <w:szCs w:val="23"/>
        </w:rPr>
        <w:t xml:space="preserve"> </w:t>
      </w:r>
      <w:proofErr w:type="spellStart"/>
      <w:r w:rsidR="00A65395" w:rsidRPr="00A2044C">
        <w:rPr>
          <w:i/>
          <w:iCs/>
          <w:sz w:val="23"/>
          <w:szCs w:val="23"/>
        </w:rPr>
        <w:t>Loyen</w:t>
      </w:r>
      <w:proofErr w:type="spellEnd"/>
      <w:r w:rsidR="00A65395" w:rsidRPr="00A2044C">
        <w:rPr>
          <w:i/>
          <w:iCs/>
          <w:sz w:val="23"/>
          <w:szCs w:val="23"/>
        </w:rPr>
        <w:t xml:space="preserve"> </w:t>
      </w:r>
      <w:proofErr w:type="spellStart"/>
      <w:r w:rsidR="00A65395" w:rsidRPr="00A2044C">
        <w:rPr>
          <w:i/>
          <w:iCs/>
          <w:sz w:val="23"/>
          <w:szCs w:val="23"/>
        </w:rPr>
        <w:t>and</w:t>
      </w:r>
      <w:proofErr w:type="spellEnd"/>
      <w:r w:rsidR="00A65395" w:rsidRPr="00A2044C">
        <w:rPr>
          <w:i/>
          <w:iCs/>
          <w:sz w:val="23"/>
          <w:szCs w:val="23"/>
        </w:rPr>
        <w:t xml:space="preserve"> </w:t>
      </w:r>
      <w:proofErr w:type="spellStart"/>
      <w:r w:rsidR="00A65395" w:rsidRPr="00A2044C">
        <w:rPr>
          <w:i/>
          <w:iCs/>
          <w:sz w:val="23"/>
          <w:szCs w:val="23"/>
        </w:rPr>
        <w:t>Bruneel</w:t>
      </w:r>
      <w:proofErr w:type="spellEnd"/>
      <w:r w:rsidR="00A65395" w:rsidRPr="00A2044C">
        <w:rPr>
          <w:sz w:val="23"/>
          <w:szCs w:val="23"/>
        </w:rPr>
        <w:t xml:space="preserve">, §§ 29-30; </w:t>
      </w:r>
      <w:proofErr w:type="spellStart"/>
      <w:r w:rsidR="00A65395" w:rsidRPr="00A2044C">
        <w:rPr>
          <w:i/>
          <w:iCs/>
          <w:sz w:val="23"/>
          <w:szCs w:val="23"/>
        </w:rPr>
        <w:t>Nölkenbockhoff</w:t>
      </w:r>
      <w:proofErr w:type="spellEnd"/>
      <w:r w:rsidR="00A65395" w:rsidRPr="00A2044C">
        <w:rPr>
          <w:sz w:val="23"/>
          <w:szCs w:val="23"/>
        </w:rPr>
        <w:t xml:space="preserve">, § 33; </w:t>
      </w:r>
      <w:proofErr w:type="spellStart"/>
      <w:r w:rsidR="00A65395" w:rsidRPr="00A2044C">
        <w:rPr>
          <w:i/>
          <w:iCs/>
          <w:sz w:val="23"/>
          <w:szCs w:val="23"/>
        </w:rPr>
        <w:t>Grădinar</w:t>
      </w:r>
      <w:proofErr w:type="spellEnd"/>
      <w:r w:rsidR="00A65395" w:rsidRPr="00A2044C">
        <w:rPr>
          <w:sz w:val="23"/>
          <w:szCs w:val="23"/>
        </w:rPr>
        <w:t xml:space="preserve">, § 97; </w:t>
      </w:r>
      <w:r w:rsidR="008C5013">
        <w:rPr>
          <w:sz w:val="23"/>
          <w:szCs w:val="23"/>
        </w:rPr>
        <w:t>ve</w:t>
      </w:r>
      <w:r w:rsidR="00A65395" w:rsidRPr="00A2044C">
        <w:rPr>
          <w:sz w:val="23"/>
          <w:szCs w:val="23"/>
        </w:rPr>
        <w:t xml:space="preserve"> </w:t>
      </w:r>
      <w:proofErr w:type="spellStart"/>
      <w:r w:rsidR="00A65395" w:rsidRPr="00A2044C">
        <w:rPr>
          <w:i/>
          <w:iCs/>
          <w:sz w:val="23"/>
          <w:szCs w:val="23"/>
        </w:rPr>
        <w:t>Micallef</w:t>
      </w:r>
      <w:proofErr w:type="spellEnd"/>
      <w:r w:rsidR="00A65395" w:rsidRPr="00A2044C">
        <w:rPr>
          <w:sz w:val="23"/>
          <w:szCs w:val="23"/>
        </w:rPr>
        <w:t xml:space="preserve">, § 48, </w:t>
      </w:r>
      <w:r w:rsidR="008C5013">
        <w:rPr>
          <w:sz w:val="23"/>
          <w:szCs w:val="23"/>
        </w:rPr>
        <w:t>yukarıda tamamı anılmıştır</w:t>
      </w:r>
      <w:r w:rsidR="00A65395" w:rsidRPr="00A2044C">
        <w:rPr>
          <w:sz w:val="23"/>
          <w:szCs w:val="23"/>
        </w:rPr>
        <w:t>).</w:t>
      </w:r>
    </w:p>
    <w:p w:rsidR="00D215C5" w:rsidRPr="00A2044C" w:rsidRDefault="00793892" w:rsidP="00793892">
      <w:pPr>
        <w:spacing w:before="240"/>
        <w:jc w:val="both"/>
        <w:rPr>
          <w:sz w:val="23"/>
          <w:szCs w:val="23"/>
        </w:rPr>
      </w:pPr>
      <w:r>
        <w:rPr>
          <w:sz w:val="23"/>
          <w:szCs w:val="23"/>
        </w:rPr>
        <w:t>Başvurunun incelenmesinde</w:t>
      </w:r>
      <w:r w:rsidR="00A65395" w:rsidRPr="00A2044C">
        <w:rPr>
          <w:sz w:val="23"/>
          <w:szCs w:val="23"/>
        </w:rPr>
        <w:t xml:space="preserve"> gerekli usullerle ilgili genel bir </w:t>
      </w:r>
      <w:r w:rsidR="008C5013">
        <w:rPr>
          <w:sz w:val="23"/>
          <w:szCs w:val="23"/>
        </w:rPr>
        <w:t xml:space="preserve">menfaatin </w:t>
      </w:r>
      <w:r w:rsidR="00A65395" w:rsidRPr="00A2044C">
        <w:rPr>
          <w:sz w:val="23"/>
          <w:szCs w:val="23"/>
        </w:rPr>
        <w:t xml:space="preserve">varlığı da dikkate alınmıştır. </w:t>
      </w:r>
      <w:r w:rsidR="00175243" w:rsidRPr="00A2044C">
        <w:rPr>
          <w:sz w:val="23"/>
          <w:szCs w:val="23"/>
        </w:rPr>
        <w:t xml:space="preserve"> (</w:t>
      </w:r>
      <w:r w:rsidR="008C5013">
        <w:rPr>
          <w:sz w:val="23"/>
          <w:szCs w:val="23"/>
        </w:rPr>
        <w:t>Bkz.</w:t>
      </w:r>
      <w:r w:rsidR="00175243" w:rsidRPr="00A2044C">
        <w:rPr>
          <w:sz w:val="23"/>
          <w:szCs w:val="23"/>
        </w:rPr>
        <w:t xml:space="preserve"> </w:t>
      </w:r>
      <w:proofErr w:type="spellStart"/>
      <w:r w:rsidR="00175243" w:rsidRPr="00A2044C">
        <w:rPr>
          <w:i/>
          <w:iCs/>
          <w:sz w:val="23"/>
          <w:szCs w:val="23"/>
        </w:rPr>
        <w:t>Marie</w:t>
      </w:r>
      <w:proofErr w:type="spellEnd"/>
      <w:r w:rsidR="00175243" w:rsidRPr="00A2044C">
        <w:rPr>
          <w:i/>
          <w:iCs/>
          <w:sz w:val="23"/>
          <w:szCs w:val="23"/>
        </w:rPr>
        <w:t>-</w:t>
      </w:r>
      <w:proofErr w:type="spellStart"/>
      <w:r w:rsidR="00175243" w:rsidRPr="00A2044C">
        <w:rPr>
          <w:i/>
          <w:iCs/>
          <w:sz w:val="23"/>
          <w:szCs w:val="23"/>
        </w:rPr>
        <w:t>Louise</w:t>
      </w:r>
      <w:proofErr w:type="spellEnd"/>
      <w:r w:rsidR="00175243" w:rsidRPr="00A2044C">
        <w:rPr>
          <w:i/>
          <w:iCs/>
          <w:sz w:val="23"/>
          <w:szCs w:val="23"/>
        </w:rPr>
        <w:t xml:space="preserve"> </w:t>
      </w:r>
      <w:proofErr w:type="spellStart"/>
      <w:r w:rsidR="00175243" w:rsidRPr="00A2044C">
        <w:rPr>
          <w:i/>
          <w:iCs/>
          <w:sz w:val="23"/>
          <w:szCs w:val="23"/>
        </w:rPr>
        <w:t>Loyen</w:t>
      </w:r>
      <w:proofErr w:type="spellEnd"/>
      <w:r w:rsidR="00175243" w:rsidRPr="00A2044C">
        <w:rPr>
          <w:i/>
          <w:iCs/>
          <w:sz w:val="23"/>
          <w:szCs w:val="23"/>
        </w:rPr>
        <w:t xml:space="preserve"> </w:t>
      </w:r>
      <w:proofErr w:type="spellStart"/>
      <w:r w:rsidR="00175243" w:rsidRPr="00A2044C">
        <w:rPr>
          <w:i/>
          <w:iCs/>
          <w:sz w:val="23"/>
          <w:szCs w:val="23"/>
        </w:rPr>
        <w:t>and</w:t>
      </w:r>
      <w:proofErr w:type="spellEnd"/>
      <w:r w:rsidR="00175243" w:rsidRPr="00A2044C">
        <w:rPr>
          <w:i/>
          <w:iCs/>
          <w:sz w:val="23"/>
          <w:szCs w:val="23"/>
        </w:rPr>
        <w:t xml:space="preserve"> </w:t>
      </w:r>
      <w:proofErr w:type="spellStart"/>
      <w:r w:rsidR="00175243" w:rsidRPr="00A2044C">
        <w:rPr>
          <w:i/>
          <w:iCs/>
          <w:sz w:val="23"/>
          <w:szCs w:val="23"/>
        </w:rPr>
        <w:t>Bruneel</w:t>
      </w:r>
      <w:proofErr w:type="spellEnd"/>
      <w:r w:rsidR="00175243" w:rsidRPr="00A2044C">
        <w:rPr>
          <w:sz w:val="23"/>
          <w:szCs w:val="23"/>
        </w:rPr>
        <w:t xml:space="preserve">, § 29; </w:t>
      </w:r>
      <w:proofErr w:type="spellStart"/>
      <w:r w:rsidR="00175243" w:rsidRPr="00A2044C">
        <w:rPr>
          <w:i/>
          <w:iCs/>
          <w:sz w:val="23"/>
          <w:szCs w:val="23"/>
        </w:rPr>
        <w:t>Ressegatti</w:t>
      </w:r>
      <w:proofErr w:type="spellEnd"/>
      <w:r w:rsidR="00175243" w:rsidRPr="00A2044C">
        <w:rPr>
          <w:sz w:val="23"/>
          <w:szCs w:val="23"/>
        </w:rPr>
        <w:t xml:space="preserve">, § 26; </w:t>
      </w:r>
      <w:proofErr w:type="spellStart"/>
      <w:r w:rsidR="00175243" w:rsidRPr="00A2044C">
        <w:rPr>
          <w:i/>
          <w:iCs/>
          <w:sz w:val="23"/>
          <w:szCs w:val="23"/>
        </w:rPr>
        <w:t>Micallef</w:t>
      </w:r>
      <w:proofErr w:type="spellEnd"/>
      <w:r w:rsidR="00175243" w:rsidRPr="00A2044C">
        <w:rPr>
          <w:sz w:val="23"/>
          <w:szCs w:val="23"/>
        </w:rPr>
        <w:t xml:space="preserve">, §§ 46 </w:t>
      </w:r>
      <w:r w:rsidR="008C5013">
        <w:rPr>
          <w:sz w:val="23"/>
          <w:szCs w:val="23"/>
        </w:rPr>
        <w:t>ve</w:t>
      </w:r>
      <w:r w:rsidR="00175243" w:rsidRPr="00A2044C">
        <w:rPr>
          <w:sz w:val="23"/>
          <w:szCs w:val="23"/>
        </w:rPr>
        <w:t xml:space="preserve"> 50, </w:t>
      </w:r>
      <w:r w:rsidR="008C5013">
        <w:rPr>
          <w:sz w:val="23"/>
          <w:szCs w:val="23"/>
        </w:rPr>
        <w:t>yukarıda tamamı anılmıştır</w:t>
      </w:r>
      <w:r w:rsidR="00175243" w:rsidRPr="00A2044C">
        <w:rPr>
          <w:sz w:val="23"/>
          <w:szCs w:val="23"/>
        </w:rPr>
        <w:t xml:space="preserve">; </w:t>
      </w:r>
      <w:proofErr w:type="spellStart"/>
      <w:r w:rsidR="00175243" w:rsidRPr="00A2044C">
        <w:rPr>
          <w:sz w:val="23"/>
          <w:szCs w:val="23"/>
        </w:rPr>
        <w:t>and</w:t>
      </w:r>
      <w:proofErr w:type="spellEnd"/>
      <w:r w:rsidR="00175243" w:rsidRPr="00A2044C">
        <w:rPr>
          <w:sz w:val="23"/>
          <w:szCs w:val="23"/>
        </w:rPr>
        <w:t xml:space="preserve"> </w:t>
      </w:r>
      <w:r w:rsidR="00175243" w:rsidRPr="00A2044C">
        <w:rPr>
          <w:i/>
          <w:iCs/>
          <w:sz w:val="23"/>
          <w:szCs w:val="23"/>
        </w:rPr>
        <w:t xml:space="preserve">Biç </w:t>
      </w:r>
      <w:proofErr w:type="spellStart"/>
      <w:r w:rsidR="008C5013">
        <w:rPr>
          <w:i/>
          <w:iCs/>
          <w:sz w:val="23"/>
          <w:szCs w:val="23"/>
        </w:rPr>
        <w:t>vd</w:t>
      </w:r>
      <w:proofErr w:type="spellEnd"/>
      <w:r w:rsidR="008C5013">
        <w:rPr>
          <w:i/>
          <w:iCs/>
          <w:sz w:val="23"/>
          <w:szCs w:val="23"/>
        </w:rPr>
        <w:t xml:space="preserve">. </w:t>
      </w:r>
      <w:r w:rsidR="00175243" w:rsidRPr="00A2044C">
        <w:rPr>
          <w:i/>
          <w:iCs/>
          <w:sz w:val="23"/>
          <w:szCs w:val="23"/>
        </w:rPr>
        <w:t xml:space="preserve">v. </w:t>
      </w:r>
      <w:proofErr w:type="spellStart"/>
      <w:r w:rsidR="00175243" w:rsidRPr="00A2044C">
        <w:rPr>
          <w:i/>
          <w:iCs/>
          <w:sz w:val="23"/>
          <w:szCs w:val="23"/>
        </w:rPr>
        <w:t>Turkey</w:t>
      </w:r>
      <w:proofErr w:type="spellEnd"/>
      <w:r w:rsidR="00175243" w:rsidRPr="00A2044C">
        <w:rPr>
          <w:sz w:val="23"/>
          <w:szCs w:val="23"/>
        </w:rPr>
        <w:t xml:space="preserve">, no. 55955/00, §§ 22-23, 2 </w:t>
      </w:r>
      <w:r w:rsidR="008C5013">
        <w:rPr>
          <w:sz w:val="23"/>
          <w:szCs w:val="23"/>
        </w:rPr>
        <w:t>Şubat</w:t>
      </w:r>
      <w:r w:rsidR="00175243" w:rsidRPr="00A2044C">
        <w:rPr>
          <w:sz w:val="23"/>
          <w:szCs w:val="23"/>
        </w:rPr>
        <w:t xml:space="preserve"> 2006).</w:t>
      </w:r>
    </w:p>
    <w:p w:rsidR="00A65395" w:rsidRPr="00A2044C" w:rsidRDefault="00A65395" w:rsidP="00793892">
      <w:pPr>
        <w:spacing w:before="240"/>
        <w:jc w:val="both"/>
        <w:rPr>
          <w:sz w:val="23"/>
          <w:szCs w:val="23"/>
        </w:rPr>
      </w:pPr>
      <w:r w:rsidRPr="00A2044C">
        <w:rPr>
          <w:sz w:val="23"/>
          <w:szCs w:val="23"/>
        </w:rPr>
        <w:t>Başvurucunun iç hukuk yargılamasına katılması</w:t>
      </w:r>
      <w:r w:rsidR="000103C2">
        <w:rPr>
          <w:sz w:val="23"/>
          <w:szCs w:val="23"/>
        </w:rPr>
        <w:t>,</w:t>
      </w:r>
      <w:r w:rsidRPr="00A2044C">
        <w:rPr>
          <w:sz w:val="23"/>
          <w:szCs w:val="23"/>
        </w:rPr>
        <w:t xml:space="preserve"> </w:t>
      </w:r>
      <w:r w:rsidR="009D6874" w:rsidRPr="00A2044C">
        <w:rPr>
          <w:sz w:val="23"/>
          <w:szCs w:val="23"/>
        </w:rPr>
        <w:t xml:space="preserve">ilgili ölçütlerden sadece biri olarak değerlendirilmiştir. </w:t>
      </w:r>
      <w:r w:rsidRPr="00A2044C">
        <w:rPr>
          <w:sz w:val="23"/>
          <w:szCs w:val="23"/>
        </w:rPr>
        <w:t xml:space="preserve"> (</w:t>
      </w:r>
      <w:r w:rsidR="008C5013">
        <w:rPr>
          <w:sz w:val="23"/>
          <w:szCs w:val="23"/>
        </w:rPr>
        <w:t>Bkz.</w:t>
      </w:r>
      <w:r w:rsidRPr="00A2044C">
        <w:rPr>
          <w:sz w:val="23"/>
          <w:szCs w:val="23"/>
        </w:rPr>
        <w:t xml:space="preserve"> </w:t>
      </w:r>
      <w:proofErr w:type="spellStart"/>
      <w:r w:rsidRPr="00A2044C">
        <w:rPr>
          <w:i/>
          <w:iCs/>
          <w:sz w:val="23"/>
          <w:szCs w:val="23"/>
        </w:rPr>
        <w:t>Nölkenbockhoff</w:t>
      </w:r>
      <w:proofErr w:type="spellEnd"/>
      <w:r w:rsidRPr="00A2044C">
        <w:rPr>
          <w:sz w:val="23"/>
          <w:szCs w:val="23"/>
        </w:rPr>
        <w:t xml:space="preserve">, § 33; </w:t>
      </w:r>
      <w:proofErr w:type="spellStart"/>
      <w:r w:rsidRPr="00A2044C">
        <w:rPr>
          <w:i/>
          <w:iCs/>
          <w:sz w:val="23"/>
          <w:szCs w:val="23"/>
        </w:rPr>
        <w:t>Micallef</w:t>
      </w:r>
      <w:proofErr w:type="spellEnd"/>
      <w:r w:rsidRPr="00A2044C">
        <w:rPr>
          <w:sz w:val="23"/>
          <w:szCs w:val="23"/>
        </w:rPr>
        <w:t xml:space="preserve">, §§ 48-49; </w:t>
      </w:r>
      <w:proofErr w:type="spellStart"/>
      <w:r w:rsidRPr="00A2044C">
        <w:rPr>
          <w:i/>
          <w:iCs/>
          <w:sz w:val="23"/>
          <w:szCs w:val="23"/>
        </w:rPr>
        <w:t>Polanco</w:t>
      </w:r>
      <w:proofErr w:type="spellEnd"/>
      <w:r w:rsidRPr="00A2044C">
        <w:rPr>
          <w:i/>
          <w:iCs/>
          <w:sz w:val="23"/>
          <w:szCs w:val="23"/>
        </w:rPr>
        <w:t xml:space="preserve"> </w:t>
      </w:r>
      <w:proofErr w:type="spellStart"/>
      <w:r w:rsidRPr="00A2044C">
        <w:rPr>
          <w:i/>
          <w:iCs/>
          <w:sz w:val="23"/>
          <w:szCs w:val="23"/>
        </w:rPr>
        <w:t>Torres</w:t>
      </w:r>
      <w:proofErr w:type="spellEnd"/>
      <w:r w:rsidRPr="00A2044C">
        <w:rPr>
          <w:i/>
          <w:iCs/>
          <w:sz w:val="23"/>
          <w:szCs w:val="23"/>
        </w:rPr>
        <w:t xml:space="preserve"> </w:t>
      </w:r>
      <w:r w:rsidR="008C5013">
        <w:rPr>
          <w:i/>
          <w:iCs/>
          <w:sz w:val="23"/>
          <w:szCs w:val="23"/>
        </w:rPr>
        <w:t xml:space="preserve">ve </w:t>
      </w:r>
      <w:r w:rsidRPr="00A2044C">
        <w:rPr>
          <w:i/>
          <w:iCs/>
          <w:sz w:val="23"/>
          <w:szCs w:val="23"/>
        </w:rPr>
        <w:t xml:space="preserve"> </w:t>
      </w:r>
      <w:proofErr w:type="spellStart"/>
      <w:r w:rsidRPr="00A2044C">
        <w:rPr>
          <w:i/>
          <w:iCs/>
          <w:sz w:val="23"/>
          <w:szCs w:val="23"/>
        </w:rPr>
        <w:t>Movilla</w:t>
      </w:r>
      <w:proofErr w:type="spellEnd"/>
      <w:r w:rsidRPr="00A2044C">
        <w:rPr>
          <w:i/>
          <w:iCs/>
          <w:sz w:val="23"/>
          <w:szCs w:val="23"/>
        </w:rPr>
        <w:t xml:space="preserve"> </w:t>
      </w:r>
      <w:proofErr w:type="spellStart"/>
      <w:r w:rsidRPr="00A2044C">
        <w:rPr>
          <w:i/>
          <w:iCs/>
          <w:sz w:val="23"/>
          <w:szCs w:val="23"/>
        </w:rPr>
        <w:t>Polanco</w:t>
      </w:r>
      <w:proofErr w:type="spellEnd"/>
      <w:r w:rsidRPr="00A2044C">
        <w:rPr>
          <w:sz w:val="23"/>
          <w:szCs w:val="23"/>
        </w:rPr>
        <w:t xml:space="preserve">, § 31; </w:t>
      </w:r>
      <w:r w:rsidR="008C5013">
        <w:rPr>
          <w:sz w:val="23"/>
          <w:szCs w:val="23"/>
        </w:rPr>
        <w:t xml:space="preserve">ve </w:t>
      </w:r>
      <w:proofErr w:type="spellStart"/>
      <w:r w:rsidRPr="00A2044C">
        <w:rPr>
          <w:i/>
          <w:iCs/>
          <w:sz w:val="23"/>
          <w:szCs w:val="23"/>
        </w:rPr>
        <w:t>Grădinar</w:t>
      </w:r>
      <w:proofErr w:type="spellEnd"/>
      <w:r w:rsidRPr="00A2044C">
        <w:rPr>
          <w:sz w:val="23"/>
          <w:szCs w:val="23"/>
        </w:rPr>
        <w:t xml:space="preserve">, §§ 98-99, </w:t>
      </w:r>
      <w:r w:rsidR="008C5013">
        <w:rPr>
          <w:sz w:val="23"/>
          <w:szCs w:val="23"/>
        </w:rPr>
        <w:t>yukarıda tamamı anılmıştır</w:t>
      </w:r>
      <w:r w:rsidRPr="00A2044C">
        <w:rPr>
          <w:sz w:val="23"/>
          <w:szCs w:val="23"/>
        </w:rPr>
        <w:t xml:space="preserve">; </w:t>
      </w:r>
      <w:r w:rsidR="008C5013">
        <w:rPr>
          <w:sz w:val="23"/>
          <w:szCs w:val="23"/>
        </w:rPr>
        <w:t xml:space="preserve">ve </w:t>
      </w:r>
      <w:proofErr w:type="spellStart"/>
      <w:r w:rsidRPr="00A2044C">
        <w:rPr>
          <w:i/>
          <w:iCs/>
          <w:sz w:val="23"/>
          <w:szCs w:val="23"/>
        </w:rPr>
        <w:t>Kaburov</w:t>
      </w:r>
      <w:proofErr w:type="spellEnd"/>
      <w:r w:rsidRPr="00A2044C">
        <w:rPr>
          <w:i/>
          <w:iCs/>
          <w:sz w:val="23"/>
          <w:szCs w:val="23"/>
        </w:rPr>
        <w:t xml:space="preserve"> v. </w:t>
      </w:r>
      <w:proofErr w:type="spellStart"/>
      <w:r w:rsidRPr="00A2044C">
        <w:rPr>
          <w:i/>
          <w:iCs/>
          <w:sz w:val="23"/>
          <w:szCs w:val="23"/>
        </w:rPr>
        <w:t>Bulgaria</w:t>
      </w:r>
      <w:proofErr w:type="spellEnd"/>
      <w:r w:rsidRPr="00A2044C">
        <w:rPr>
          <w:i/>
          <w:iCs/>
          <w:sz w:val="23"/>
          <w:szCs w:val="23"/>
        </w:rPr>
        <w:t xml:space="preserve"> </w:t>
      </w:r>
      <w:r w:rsidRPr="00A2044C">
        <w:rPr>
          <w:sz w:val="23"/>
          <w:szCs w:val="23"/>
        </w:rPr>
        <w:t>(</w:t>
      </w:r>
      <w:proofErr w:type="spellStart"/>
      <w:r w:rsidRPr="00A2044C">
        <w:rPr>
          <w:sz w:val="23"/>
          <w:szCs w:val="23"/>
        </w:rPr>
        <w:t>dec</w:t>
      </w:r>
      <w:proofErr w:type="spellEnd"/>
      <w:r w:rsidRPr="00A2044C">
        <w:rPr>
          <w:sz w:val="23"/>
          <w:szCs w:val="23"/>
        </w:rPr>
        <w:t xml:space="preserve">.), no. 9035/06, §§ 52-53, 19 </w:t>
      </w:r>
      <w:r w:rsidR="008C5013">
        <w:rPr>
          <w:sz w:val="23"/>
          <w:szCs w:val="23"/>
        </w:rPr>
        <w:t>Haziran</w:t>
      </w:r>
      <w:r w:rsidRPr="00A2044C">
        <w:rPr>
          <w:sz w:val="23"/>
          <w:szCs w:val="23"/>
        </w:rPr>
        <w:t xml:space="preserve"> 2012).</w:t>
      </w:r>
    </w:p>
    <w:p w:rsidR="009D6874" w:rsidRPr="00A2044C" w:rsidRDefault="009D6874" w:rsidP="00793892">
      <w:pPr>
        <w:pStyle w:val="Default"/>
        <w:spacing w:before="240" w:line="276" w:lineRule="auto"/>
        <w:jc w:val="both"/>
        <w:rPr>
          <w:rFonts w:asciiTheme="minorHAnsi" w:hAnsiTheme="minorHAnsi"/>
          <w:b/>
          <w:sz w:val="20"/>
          <w:szCs w:val="20"/>
        </w:rPr>
      </w:pPr>
      <w:r w:rsidRPr="00A2044C">
        <w:rPr>
          <w:rFonts w:asciiTheme="minorHAnsi" w:hAnsiTheme="minorHAnsi"/>
          <w:b/>
          <w:i/>
          <w:iCs/>
          <w:sz w:val="20"/>
          <w:szCs w:val="20"/>
        </w:rPr>
        <w:t>(</w:t>
      </w:r>
      <w:proofErr w:type="spellStart"/>
      <w:r w:rsidRPr="00A2044C">
        <w:rPr>
          <w:rFonts w:asciiTheme="minorHAnsi" w:hAnsiTheme="minorHAnsi"/>
          <w:b/>
          <w:i/>
          <w:iCs/>
          <w:sz w:val="20"/>
          <w:szCs w:val="20"/>
        </w:rPr>
        <w:t>iii</w:t>
      </w:r>
      <w:proofErr w:type="spellEnd"/>
      <w:r w:rsidRPr="00A2044C">
        <w:rPr>
          <w:rFonts w:asciiTheme="minorHAnsi" w:hAnsiTheme="minorHAnsi"/>
          <w:b/>
          <w:i/>
          <w:iCs/>
          <w:sz w:val="20"/>
          <w:szCs w:val="20"/>
        </w:rPr>
        <w:t xml:space="preserve">)Muhtemel mağdurlar ve </w:t>
      </w:r>
      <w:proofErr w:type="spellStart"/>
      <w:r w:rsidRPr="00A2044C">
        <w:rPr>
          <w:rFonts w:asciiTheme="minorHAnsi" w:hAnsiTheme="minorHAnsi"/>
          <w:b/>
          <w:sz w:val="20"/>
          <w:szCs w:val="20"/>
        </w:rPr>
        <w:t>actio</w:t>
      </w:r>
      <w:proofErr w:type="spellEnd"/>
      <w:r w:rsidRPr="00A2044C">
        <w:rPr>
          <w:rFonts w:asciiTheme="minorHAnsi" w:hAnsiTheme="minorHAnsi"/>
          <w:b/>
          <w:sz w:val="20"/>
          <w:szCs w:val="20"/>
        </w:rPr>
        <w:t xml:space="preserve"> </w:t>
      </w:r>
      <w:proofErr w:type="spellStart"/>
      <w:r w:rsidRPr="00A2044C">
        <w:rPr>
          <w:rFonts w:asciiTheme="minorHAnsi" w:hAnsiTheme="minorHAnsi"/>
          <w:b/>
          <w:sz w:val="20"/>
          <w:szCs w:val="20"/>
        </w:rPr>
        <w:t>popularis</w:t>
      </w:r>
      <w:proofErr w:type="spellEnd"/>
      <w:r w:rsidRPr="00A2044C">
        <w:rPr>
          <w:rFonts w:asciiTheme="minorHAnsi" w:hAnsiTheme="minorHAnsi"/>
          <w:b/>
          <w:sz w:val="20"/>
          <w:szCs w:val="20"/>
        </w:rPr>
        <w:t xml:space="preserve"> (kamu davası) </w:t>
      </w:r>
    </w:p>
    <w:p w:rsidR="009D6874" w:rsidRPr="00A2044C" w:rsidRDefault="009D6874" w:rsidP="00793892">
      <w:pPr>
        <w:spacing w:before="240"/>
        <w:jc w:val="both"/>
        <w:rPr>
          <w:sz w:val="23"/>
          <w:szCs w:val="23"/>
        </w:rPr>
      </w:pPr>
      <w:r w:rsidRPr="00B6495A">
        <w:rPr>
          <w:b/>
          <w:sz w:val="23"/>
          <w:szCs w:val="23"/>
        </w:rPr>
        <w:t>101.</w:t>
      </w:r>
      <w:r w:rsidRPr="00A2044C">
        <w:rPr>
          <w:sz w:val="23"/>
          <w:szCs w:val="23"/>
        </w:rPr>
        <w:t xml:space="preserve"> Sözleşmenin 34. Maddesi sadece Sözleşmenin ihlal edildiğinin </w:t>
      </w:r>
      <w:r w:rsidRPr="00A2044C">
        <w:rPr>
          <w:i/>
          <w:sz w:val="23"/>
          <w:szCs w:val="23"/>
        </w:rPr>
        <w:t>soyut olarak</w:t>
      </w:r>
      <w:r w:rsidRPr="00A2044C">
        <w:rPr>
          <w:sz w:val="23"/>
          <w:szCs w:val="23"/>
        </w:rPr>
        <w:t xml:space="preserve"> iddia edildiği başvurulara </w:t>
      </w:r>
      <w:r w:rsidR="008C5013">
        <w:rPr>
          <w:sz w:val="23"/>
          <w:szCs w:val="23"/>
        </w:rPr>
        <w:t>imkan tanımaz</w:t>
      </w:r>
      <w:r w:rsidRPr="00A2044C">
        <w:rPr>
          <w:sz w:val="23"/>
          <w:szCs w:val="23"/>
        </w:rPr>
        <w:t xml:space="preserve">.  Sözleşme </w:t>
      </w:r>
      <w:proofErr w:type="spellStart"/>
      <w:r w:rsidRPr="008C5013">
        <w:rPr>
          <w:i/>
          <w:sz w:val="23"/>
          <w:szCs w:val="23"/>
        </w:rPr>
        <w:t>actio</w:t>
      </w:r>
      <w:proofErr w:type="spellEnd"/>
      <w:r w:rsidRPr="008C5013">
        <w:rPr>
          <w:i/>
          <w:sz w:val="23"/>
          <w:szCs w:val="23"/>
        </w:rPr>
        <w:t xml:space="preserve"> </w:t>
      </w:r>
      <w:proofErr w:type="spellStart"/>
      <w:r w:rsidRPr="008C5013">
        <w:rPr>
          <w:i/>
          <w:sz w:val="23"/>
          <w:szCs w:val="23"/>
        </w:rPr>
        <w:t>popularis</w:t>
      </w:r>
      <w:proofErr w:type="spellEnd"/>
      <w:r w:rsidRPr="00A2044C">
        <w:rPr>
          <w:sz w:val="23"/>
          <w:szCs w:val="23"/>
        </w:rPr>
        <w:t xml:space="preserve"> kurumunu getirmez; yani, başvurucular iç hukukun bir hükmü, ulusal bir uygulama ya da kamusal eylemlerin Sözleşmeye aykırı görülmesi nedeniyle başvuru yapamazlar. (</w:t>
      </w:r>
      <w:r w:rsidR="008C5013">
        <w:rPr>
          <w:sz w:val="23"/>
          <w:szCs w:val="23"/>
        </w:rPr>
        <w:t>Bkz.</w:t>
      </w:r>
      <w:r w:rsidRPr="00A2044C">
        <w:rPr>
          <w:sz w:val="23"/>
          <w:szCs w:val="23"/>
        </w:rPr>
        <w:t xml:space="preserve"> </w:t>
      </w:r>
      <w:proofErr w:type="spellStart"/>
      <w:r w:rsidRPr="00A2044C">
        <w:rPr>
          <w:i/>
          <w:iCs/>
          <w:sz w:val="23"/>
          <w:szCs w:val="23"/>
        </w:rPr>
        <w:t>Klass</w:t>
      </w:r>
      <w:proofErr w:type="spellEnd"/>
      <w:r w:rsidRPr="00A2044C">
        <w:rPr>
          <w:i/>
          <w:iCs/>
          <w:sz w:val="23"/>
          <w:szCs w:val="23"/>
        </w:rPr>
        <w:t xml:space="preserve"> </w:t>
      </w:r>
      <w:proofErr w:type="spellStart"/>
      <w:r w:rsidR="008C5013">
        <w:rPr>
          <w:i/>
          <w:iCs/>
          <w:sz w:val="23"/>
          <w:szCs w:val="23"/>
        </w:rPr>
        <w:t>vd</w:t>
      </w:r>
      <w:proofErr w:type="spellEnd"/>
      <w:r w:rsidR="008C5013">
        <w:rPr>
          <w:i/>
          <w:iCs/>
          <w:sz w:val="23"/>
          <w:szCs w:val="23"/>
        </w:rPr>
        <w:t xml:space="preserve">. </w:t>
      </w:r>
      <w:r w:rsidRPr="00A2044C">
        <w:rPr>
          <w:i/>
          <w:iCs/>
          <w:sz w:val="23"/>
          <w:szCs w:val="23"/>
        </w:rPr>
        <w:t xml:space="preserve"> v. </w:t>
      </w:r>
      <w:r w:rsidR="008C5013">
        <w:rPr>
          <w:i/>
          <w:iCs/>
          <w:sz w:val="23"/>
          <w:szCs w:val="23"/>
        </w:rPr>
        <w:t>Almanya</w:t>
      </w:r>
      <w:r w:rsidRPr="00A2044C">
        <w:rPr>
          <w:sz w:val="23"/>
          <w:szCs w:val="23"/>
        </w:rPr>
        <w:t xml:space="preserve">, 6 </w:t>
      </w:r>
      <w:r w:rsidR="008C5013">
        <w:rPr>
          <w:sz w:val="23"/>
          <w:szCs w:val="23"/>
        </w:rPr>
        <w:t xml:space="preserve">Eylül </w:t>
      </w:r>
      <w:r w:rsidRPr="00A2044C">
        <w:rPr>
          <w:sz w:val="23"/>
          <w:szCs w:val="23"/>
        </w:rPr>
        <w:t xml:space="preserve">1978, § 33, </w:t>
      </w:r>
      <w:proofErr w:type="spellStart"/>
      <w:r w:rsidRPr="00A2044C">
        <w:rPr>
          <w:sz w:val="23"/>
          <w:szCs w:val="23"/>
        </w:rPr>
        <w:t>Series</w:t>
      </w:r>
      <w:proofErr w:type="spellEnd"/>
      <w:r w:rsidRPr="00A2044C">
        <w:rPr>
          <w:sz w:val="23"/>
          <w:szCs w:val="23"/>
        </w:rPr>
        <w:t xml:space="preserve"> A no. 28; </w:t>
      </w:r>
      <w:proofErr w:type="spellStart"/>
      <w:r w:rsidRPr="00A2044C">
        <w:rPr>
          <w:i/>
          <w:iCs/>
          <w:sz w:val="23"/>
          <w:szCs w:val="23"/>
        </w:rPr>
        <w:t>The</w:t>
      </w:r>
      <w:proofErr w:type="spellEnd"/>
      <w:r w:rsidRPr="00A2044C">
        <w:rPr>
          <w:i/>
          <w:iCs/>
          <w:sz w:val="23"/>
          <w:szCs w:val="23"/>
        </w:rPr>
        <w:t xml:space="preserve"> </w:t>
      </w:r>
      <w:proofErr w:type="spellStart"/>
      <w:r w:rsidRPr="00A2044C">
        <w:rPr>
          <w:i/>
          <w:iCs/>
          <w:sz w:val="23"/>
          <w:szCs w:val="23"/>
        </w:rPr>
        <w:t>Georgian</w:t>
      </w:r>
      <w:proofErr w:type="spellEnd"/>
      <w:r w:rsidRPr="00A2044C">
        <w:rPr>
          <w:i/>
          <w:iCs/>
          <w:sz w:val="23"/>
          <w:szCs w:val="23"/>
        </w:rPr>
        <w:t xml:space="preserve"> </w:t>
      </w:r>
      <w:proofErr w:type="spellStart"/>
      <w:r w:rsidRPr="00A2044C">
        <w:rPr>
          <w:i/>
          <w:iCs/>
          <w:sz w:val="23"/>
          <w:szCs w:val="23"/>
        </w:rPr>
        <w:t>Labour</w:t>
      </w:r>
      <w:proofErr w:type="spellEnd"/>
      <w:r w:rsidRPr="00A2044C">
        <w:rPr>
          <w:i/>
          <w:iCs/>
          <w:sz w:val="23"/>
          <w:szCs w:val="23"/>
        </w:rPr>
        <w:t xml:space="preserve"> </w:t>
      </w:r>
      <w:proofErr w:type="spellStart"/>
      <w:r w:rsidRPr="00A2044C">
        <w:rPr>
          <w:i/>
          <w:iCs/>
          <w:sz w:val="23"/>
          <w:szCs w:val="23"/>
        </w:rPr>
        <w:t>Party</w:t>
      </w:r>
      <w:proofErr w:type="spellEnd"/>
      <w:r w:rsidRPr="00A2044C">
        <w:rPr>
          <w:i/>
          <w:iCs/>
          <w:sz w:val="23"/>
          <w:szCs w:val="23"/>
        </w:rPr>
        <w:t xml:space="preserve"> v. Georgia </w:t>
      </w:r>
      <w:r w:rsidRPr="00A2044C">
        <w:rPr>
          <w:sz w:val="23"/>
          <w:szCs w:val="23"/>
        </w:rPr>
        <w:t>(</w:t>
      </w:r>
      <w:proofErr w:type="spellStart"/>
      <w:r w:rsidRPr="00A2044C">
        <w:rPr>
          <w:sz w:val="23"/>
          <w:szCs w:val="23"/>
        </w:rPr>
        <w:t>dec</w:t>
      </w:r>
      <w:proofErr w:type="spellEnd"/>
      <w:r w:rsidRPr="00A2044C">
        <w:rPr>
          <w:sz w:val="23"/>
          <w:szCs w:val="23"/>
        </w:rPr>
        <w:t>.), no. 9103/04, 22 May</w:t>
      </w:r>
      <w:r w:rsidR="008C5013">
        <w:rPr>
          <w:sz w:val="23"/>
          <w:szCs w:val="23"/>
        </w:rPr>
        <w:t>ıs</w:t>
      </w:r>
      <w:r w:rsidRPr="00A2044C">
        <w:rPr>
          <w:sz w:val="23"/>
          <w:szCs w:val="23"/>
        </w:rPr>
        <w:t xml:space="preserve"> 2007; </w:t>
      </w:r>
      <w:r w:rsidR="008C5013">
        <w:rPr>
          <w:sz w:val="23"/>
          <w:szCs w:val="23"/>
        </w:rPr>
        <w:t xml:space="preserve">ve </w:t>
      </w:r>
      <w:proofErr w:type="spellStart"/>
      <w:r w:rsidRPr="00A2044C">
        <w:rPr>
          <w:i/>
          <w:iCs/>
          <w:sz w:val="23"/>
          <w:szCs w:val="23"/>
        </w:rPr>
        <w:t>Burden</w:t>
      </w:r>
      <w:proofErr w:type="spellEnd"/>
      <w:r w:rsidRPr="00A2044C">
        <w:rPr>
          <w:sz w:val="23"/>
          <w:szCs w:val="23"/>
        </w:rPr>
        <w:t xml:space="preserve">, </w:t>
      </w:r>
      <w:r w:rsidR="008C5013">
        <w:rPr>
          <w:sz w:val="23"/>
          <w:szCs w:val="23"/>
        </w:rPr>
        <w:t>yukarıda anılmıştır</w:t>
      </w:r>
      <w:r w:rsidRPr="00A2044C">
        <w:rPr>
          <w:sz w:val="23"/>
          <w:szCs w:val="23"/>
        </w:rPr>
        <w:t>, § 33)</w:t>
      </w:r>
    </w:p>
    <w:p w:rsidR="009D6874" w:rsidRPr="00A2044C" w:rsidRDefault="001A2EDA" w:rsidP="00793892">
      <w:pPr>
        <w:spacing w:before="240"/>
        <w:jc w:val="both"/>
        <w:rPr>
          <w:sz w:val="23"/>
          <w:szCs w:val="23"/>
        </w:rPr>
      </w:pPr>
      <w:r w:rsidRPr="00A2044C">
        <w:rPr>
          <w:sz w:val="23"/>
          <w:szCs w:val="23"/>
        </w:rPr>
        <w:t>Mağdur olduğunu iddia edebilmesi için başvurucuların onları kişisel olarak etkileyen bir ihlalin olasılığıyla ilgili makul ve ikna edici bir delile sahip olması gerekir, bu bakımdan şüphe veya tahmin yeterli değildir.</w:t>
      </w:r>
      <w:r w:rsidR="009D6874" w:rsidRPr="00A2044C">
        <w:rPr>
          <w:sz w:val="23"/>
          <w:szCs w:val="23"/>
        </w:rPr>
        <w:t xml:space="preserve"> (</w:t>
      </w:r>
      <w:r w:rsidRPr="00A2044C">
        <w:rPr>
          <w:sz w:val="23"/>
          <w:szCs w:val="23"/>
        </w:rPr>
        <w:t xml:space="preserve">Bkz. </w:t>
      </w:r>
      <w:proofErr w:type="spellStart"/>
      <w:r w:rsidR="009D6874" w:rsidRPr="00A2044C">
        <w:rPr>
          <w:i/>
          <w:iCs/>
          <w:sz w:val="23"/>
          <w:szCs w:val="23"/>
        </w:rPr>
        <w:t>Tauira</w:t>
      </w:r>
      <w:proofErr w:type="spellEnd"/>
      <w:r w:rsidR="009D6874" w:rsidRPr="00A2044C">
        <w:rPr>
          <w:i/>
          <w:iCs/>
          <w:sz w:val="23"/>
          <w:szCs w:val="23"/>
        </w:rPr>
        <w:t xml:space="preserve"> </w:t>
      </w:r>
      <w:proofErr w:type="spellStart"/>
      <w:r w:rsidR="009D6874" w:rsidRPr="00A2044C">
        <w:rPr>
          <w:i/>
          <w:iCs/>
          <w:sz w:val="23"/>
          <w:szCs w:val="23"/>
        </w:rPr>
        <w:t>and</w:t>
      </w:r>
      <w:proofErr w:type="spellEnd"/>
      <w:r w:rsidR="009D6874" w:rsidRPr="00A2044C">
        <w:rPr>
          <w:i/>
          <w:iCs/>
          <w:sz w:val="23"/>
          <w:szCs w:val="23"/>
        </w:rPr>
        <w:t xml:space="preserve"> 18 </w:t>
      </w:r>
      <w:proofErr w:type="spellStart"/>
      <w:r w:rsidR="009D6874" w:rsidRPr="00A2044C">
        <w:rPr>
          <w:i/>
          <w:iCs/>
          <w:sz w:val="23"/>
          <w:szCs w:val="23"/>
        </w:rPr>
        <w:t>Others</w:t>
      </w:r>
      <w:proofErr w:type="spellEnd"/>
      <w:r w:rsidR="009D6874" w:rsidRPr="00A2044C">
        <w:rPr>
          <w:i/>
          <w:iCs/>
          <w:sz w:val="23"/>
          <w:szCs w:val="23"/>
        </w:rPr>
        <w:t xml:space="preserve"> v. </w:t>
      </w:r>
      <w:proofErr w:type="spellStart"/>
      <w:r w:rsidR="009D6874" w:rsidRPr="00A2044C">
        <w:rPr>
          <w:i/>
          <w:iCs/>
          <w:sz w:val="23"/>
          <w:szCs w:val="23"/>
        </w:rPr>
        <w:t>France</w:t>
      </w:r>
      <w:proofErr w:type="spellEnd"/>
      <w:r w:rsidR="009D6874" w:rsidRPr="00A2044C">
        <w:rPr>
          <w:sz w:val="23"/>
          <w:szCs w:val="23"/>
        </w:rPr>
        <w:t xml:space="preserve">, </w:t>
      </w:r>
      <w:r w:rsidR="008C5013">
        <w:rPr>
          <w:sz w:val="23"/>
          <w:szCs w:val="23"/>
        </w:rPr>
        <w:t xml:space="preserve">Başvuru </w:t>
      </w:r>
      <w:r w:rsidR="009D6874" w:rsidRPr="00A2044C">
        <w:rPr>
          <w:sz w:val="23"/>
          <w:szCs w:val="23"/>
        </w:rPr>
        <w:t xml:space="preserve">no. 28204/95, </w:t>
      </w:r>
      <w:proofErr w:type="spellStart"/>
      <w:r w:rsidR="009D6874" w:rsidRPr="00A2044C">
        <w:rPr>
          <w:sz w:val="23"/>
          <w:szCs w:val="23"/>
        </w:rPr>
        <w:t>Commission</w:t>
      </w:r>
      <w:proofErr w:type="spellEnd"/>
      <w:r w:rsidR="009D6874" w:rsidRPr="00A2044C">
        <w:rPr>
          <w:sz w:val="23"/>
          <w:szCs w:val="23"/>
        </w:rPr>
        <w:t xml:space="preserve"> </w:t>
      </w:r>
      <w:proofErr w:type="spellStart"/>
      <w:r w:rsidR="009D6874" w:rsidRPr="00A2044C">
        <w:rPr>
          <w:sz w:val="23"/>
          <w:szCs w:val="23"/>
        </w:rPr>
        <w:t>decision</w:t>
      </w:r>
      <w:proofErr w:type="spellEnd"/>
      <w:r w:rsidR="009D6874" w:rsidRPr="00A2044C">
        <w:rPr>
          <w:sz w:val="23"/>
          <w:szCs w:val="23"/>
        </w:rPr>
        <w:t xml:space="preserve"> of 4 </w:t>
      </w:r>
      <w:r w:rsidR="008C5013">
        <w:rPr>
          <w:sz w:val="23"/>
          <w:szCs w:val="23"/>
        </w:rPr>
        <w:t>Aralık</w:t>
      </w:r>
      <w:r w:rsidR="009D6874" w:rsidRPr="00A2044C">
        <w:rPr>
          <w:sz w:val="23"/>
          <w:szCs w:val="23"/>
        </w:rPr>
        <w:t xml:space="preserve"> 1995, </w:t>
      </w:r>
      <w:proofErr w:type="spellStart"/>
      <w:r w:rsidR="009D6874" w:rsidRPr="00A2044C">
        <w:rPr>
          <w:sz w:val="23"/>
          <w:szCs w:val="23"/>
        </w:rPr>
        <w:t>Decisions</w:t>
      </w:r>
      <w:proofErr w:type="spellEnd"/>
      <w:r w:rsidR="009D6874" w:rsidRPr="00A2044C">
        <w:rPr>
          <w:sz w:val="23"/>
          <w:szCs w:val="23"/>
        </w:rPr>
        <w:t xml:space="preserve"> </w:t>
      </w:r>
      <w:proofErr w:type="spellStart"/>
      <w:r w:rsidR="009D6874" w:rsidRPr="00A2044C">
        <w:rPr>
          <w:sz w:val="23"/>
          <w:szCs w:val="23"/>
        </w:rPr>
        <w:t>and</w:t>
      </w:r>
      <w:proofErr w:type="spellEnd"/>
      <w:r w:rsidR="009D6874" w:rsidRPr="00A2044C">
        <w:rPr>
          <w:sz w:val="23"/>
          <w:szCs w:val="23"/>
        </w:rPr>
        <w:t xml:space="preserve"> </w:t>
      </w:r>
      <w:proofErr w:type="spellStart"/>
      <w:r w:rsidR="009D6874" w:rsidRPr="00A2044C">
        <w:rPr>
          <w:sz w:val="23"/>
          <w:szCs w:val="23"/>
        </w:rPr>
        <w:t>Reports</w:t>
      </w:r>
      <w:proofErr w:type="spellEnd"/>
      <w:r w:rsidR="009D6874" w:rsidRPr="00A2044C">
        <w:rPr>
          <w:sz w:val="23"/>
          <w:szCs w:val="23"/>
        </w:rPr>
        <w:t xml:space="preserve"> (DR) 83-B, p. 131, </w:t>
      </w:r>
      <w:r w:rsidR="008C5013">
        <w:rPr>
          <w:sz w:val="23"/>
          <w:szCs w:val="23"/>
        </w:rPr>
        <w:t>ve</w:t>
      </w:r>
      <w:r w:rsidR="009D6874" w:rsidRPr="00A2044C">
        <w:rPr>
          <w:sz w:val="23"/>
          <w:szCs w:val="23"/>
        </w:rPr>
        <w:t xml:space="preserve"> </w:t>
      </w:r>
      <w:proofErr w:type="spellStart"/>
      <w:r w:rsidR="009D6874" w:rsidRPr="00A2044C">
        <w:rPr>
          <w:i/>
          <w:iCs/>
          <w:sz w:val="23"/>
          <w:szCs w:val="23"/>
        </w:rPr>
        <w:t>Monnat</w:t>
      </w:r>
      <w:proofErr w:type="spellEnd"/>
      <w:r w:rsidR="009D6874" w:rsidRPr="00A2044C">
        <w:rPr>
          <w:i/>
          <w:iCs/>
          <w:sz w:val="23"/>
          <w:szCs w:val="23"/>
        </w:rPr>
        <w:t xml:space="preserve"> v. </w:t>
      </w:r>
      <w:proofErr w:type="spellStart"/>
      <w:r w:rsidR="009D6874" w:rsidRPr="00A2044C">
        <w:rPr>
          <w:i/>
          <w:iCs/>
          <w:sz w:val="23"/>
          <w:szCs w:val="23"/>
        </w:rPr>
        <w:t>Switzerland</w:t>
      </w:r>
      <w:proofErr w:type="spellEnd"/>
      <w:r w:rsidR="009D6874" w:rsidRPr="00A2044C">
        <w:rPr>
          <w:sz w:val="23"/>
          <w:szCs w:val="23"/>
        </w:rPr>
        <w:t>, no. 73604/01, §§ 31-32, ECHR 2006-X).</w:t>
      </w:r>
    </w:p>
    <w:p w:rsidR="009D6874" w:rsidRPr="008C5013" w:rsidRDefault="009D6874" w:rsidP="00793892">
      <w:pPr>
        <w:pStyle w:val="Default"/>
        <w:spacing w:before="240" w:line="276" w:lineRule="auto"/>
        <w:jc w:val="both"/>
        <w:rPr>
          <w:rFonts w:asciiTheme="minorHAnsi" w:hAnsiTheme="minorHAnsi"/>
          <w:b/>
          <w:sz w:val="20"/>
          <w:szCs w:val="20"/>
        </w:rPr>
      </w:pPr>
      <w:r w:rsidRPr="008C5013">
        <w:rPr>
          <w:rFonts w:asciiTheme="minorHAnsi" w:hAnsiTheme="minorHAnsi"/>
          <w:b/>
          <w:i/>
          <w:iCs/>
          <w:sz w:val="20"/>
          <w:szCs w:val="20"/>
        </w:rPr>
        <w:t xml:space="preserve">(iv) </w:t>
      </w:r>
      <w:r w:rsidR="001A2EDA" w:rsidRPr="008C5013">
        <w:rPr>
          <w:rFonts w:asciiTheme="minorHAnsi" w:hAnsiTheme="minorHAnsi"/>
          <w:b/>
          <w:i/>
          <w:iCs/>
          <w:sz w:val="20"/>
          <w:szCs w:val="20"/>
        </w:rPr>
        <w:t>Temsil edilme</w:t>
      </w:r>
    </w:p>
    <w:p w:rsidR="001A2EDA" w:rsidRPr="00A2044C" w:rsidRDefault="009D6874"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102.</w:t>
      </w:r>
      <w:r w:rsidRPr="00A2044C">
        <w:rPr>
          <w:rFonts w:asciiTheme="minorHAnsi" w:hAnsiTheme="minorHAnsi"/>
          <w:sz w:val="23"/>
          <w:szCs w:val="23"/>
        </w:rPr>
        <w:t xml:space="preserve"> </w:t>
      </w:r>
      <w:r w:rsidR="001A2EDA" w:rsidRPr="00A2044C">
        <w:rPr>
          <w:rFonts w:asciiTheme="minorHAnsi" w:hAnsiTheme="minorHAnsi"/>
          <w:sz w:val="23"/>
          <w:szCs w:val="23"/>
        </w:rPr>
        <w:t xml:space="preserve">Mahkemenin iyi yapılandırılmış içtihadına göre (Bkz. Paragraf 96) başvurular sadece yaşayan kişiler veya onların yerine yapılmalıdır. </w:t>
      </w:r>
    </w:p>
    <w:p w:rsidR="009D6874" w:rsidRPr="00A2044C" w:rsidRDefault="001A2EDA" w:rsidP="00793892">
      <w:pPr>
        <w:pStyle w:val="Default"/>
        <w:spacing w:before="240" w:line="276" w:lineRule="auto"/>
        <w:jc w:val="both"/>
        <w:rPr>
          <w:rFonts w:asciiTheme="minorHAnsi" w:hAnsiTheme="minorHAnsi"/>
          <w:sz w:val="23"/>
          <w:szCs w:val="23"/>
        </w:rPr>
      </w:pPr>
      <w:r w:rsidRPr="00A2044C">
        <w:rPr>
          <w:rFonts w:asciiTheme="minorHAnsi" w:hAnsiTheme="minorHAnsi"/>
          <w:sz w:val="23"/>
          <w:szCs w:val="23"/>
        </w:rPr>
        <w:lastRenderedPageBreak/>
        <w:t>Başvurucuların Mahkeme Kurullarının 36/1 hükmüne göre başvuruyu doğrudan kendilerinin yapması yerine temsil edilmeyi tercih etmeleri halinde 45/3 sayılı kural</w:t>
      </w:r>
      <w:r w:rsidR="008C5013">
        <w:rPr>
          <w:rFonts w:asciiTheme="minorHAnsi" w:hAnsiTheme="minorHAnsi"/>
          <w:sz w:val="23"/>
          <w:szCs w:val="23"/>
        </w:rPr>
        <w:t>daki usul</w:t>
      </w:r>
      <w:r w:rsidRPr="00A2044C">
        <w:rPr>
          <w:rFonts w:asciiTheme="minorHAnsi" w:hAnsiTheme="minorHAnsi"/>
          <w:sz w:val="23"/>
          <w:szCs w:val="23"/>
        </w:rPr>
        <w:t>e uygun biçimde imzalanmış yazılı bir yetkilen</w:t>
      </w:r>
      <w:r w:rsidR="008C5013">
        <w:rPr>
          <w:rFonts w:asciiTheme="minorHAnsi" w:hAnsiTheme="minorHAnsi"/>
          <w:sz w:val="23"/>
          <w:szCs w:val="23"/>
        </w:rPr>
        <w:t>dirme yapmaları</w:t>
      </w:r>
      <w:r w:rsidRPr="00A2044C">
        <w:rPr>
          <w:rFonts w:asciiTheme="minorHAnsi" w:hAnsiTheme="minorHAnsi"/>
          <w:sz w:val="23"/>
          <w:szCs w:val="23"/>
        </w:rPr>
        <w:t xml:space="preserve"> mümkün</w:t>
      </w:r>
      <w:r w:rsidR="008C5013">
        <w:rPr>
          <w:rFonts w:asciiTheme="minorHAnsi" w:hAnsiTheme="minorHAnsi"/>
          <w:sz w:val="23"/>
          <w:szCs w:val="23"/>
        </w:rPr>
        <w:t>dür</w:t>
      </w:r>
      <w:r w:rsidRPr="00A2044C">
        <w:rPr>
          <w:rFonts w:asciiTheme="minorHAnsi" w:hAnsiTheme="minorHAnsi"/>
          <w:sz w:val="23"/>
          <w:szCs w:val="23"/>
        </w:rPr>
        <w:t xml:space="preserve">. Temsilcilerin </w:t>
      </w:r>
      <w:r w:rsidR="002F0649" w:rsidRPr="00A2044C">
        <w:rPr>
          <w:rFonts w:asciiTheme="minorHAnsi" w:hAnsiTheme="minorHAnsi"/>
          <w:sz w:val="23"/>
          <w:szCs w:val="23"/>
        </w:rPr>
        <w:t>Mahkeme önünde adına hareket edeceği ve 34. Madde anlamı</w:t>
      </w:r>
      <w:r w:rsidR="00B6495A">
        <w:rPr>
          <w:rFonts w:asciiTheme="minorHAnsi" w:hAnsiTheme="minorHAnsi"/>
          <w:sz w:val="23"/>
          <w:szCs w:val="23"/>
        </w:rPr>
        <w:t xml:space="preserve">nda </w:t>
      </w:r>
      <w:r w:rsidR="002F0649" w:rsidRPr="00A2044C">
        <w:rPr>
          <w:rFonts w:asciiTheme="minorHAnsi" w:hAnsiTheme="minorHAnsi"/>
          <w:sz w:val="23"/>
          <w:szCs w:val="23"/>
        </w:rPr>
        <w:t>mağ</w:t>
      </w:r>
      <w:r w:rsidR="00B6495A">
        <w:rPr>
          <w:rFonts w:asciiTheme="minorHAnsi" w:hAnsiTheme="minorHAnsi"/>
          <w:sz w:val="23"/>
          <w:szCs w:val="23"/>
        </w:rPr>
        <w:t>dur olduğunu iddia eden kişiden</w:t>
      </w:r>
      <w:r w:rsidR="002F0649" w:rsidRPr="00A2044C">
        <w:rPr>
          <w:rFonts w:asciiTheme="minorHAnsi" w:hAnsiTheme="minorHAnsi"/>
          <w:sz w:val="23"/>
          <w:szCs w:val="23"/>
        </w:rPr>
        <w:t xml:space="preserve"> </w:t>
      </w:r>
      <w:r w:rsidRPr="00A2044C">
        <w:rPr>
          <w:rFonts w:asciiTheme="minorHAnsi" w:hAnsiTheme="minorHAnsi"/>
          <w:sz w:val="23"/>
          <w:szCs w:val="23"/>
        </w:rPr>
        <w:t xml:space="preserve">özel ve açık </w:t>
      </w:r>
      <w:r w:rsidR="002F0649" w:rsidRPr="00A2044C">
        <w:rPr>
          <w:rFonts w:asciiTheme="minorHAnsi" w:hAnsiTheme="minorHAnsi"/>
          <w:sz w:val="23"/>
          <w:szCs w:val="23"/>
        </w:rPr>
        <w:t>talimat aldığını göstermesi (</w:t>
      </w:r>
      <w:r w:rsidR="00B6495A">
        <w:rPr>
          <w:rFonts w:asciiTheme="minorHAnsi" w:hAnsiTheme="minorHAnsi"/>
          <w:sz w:val="23"/>
          <w:szCs w:val="23"/>
        </w:rPr>
        <w:t>Bkz.</w:t>
      </w:r>
      <w:r w:rsidR="002F0649" w:rsidRPr="00A2044C">
        <w:rPr>
          <w:rFonts w:asciiTheme="minorHAnsi" w:hAnsiTheme="minorHAnsi"/>
          <w:sz w:val="23"/>
          <w:szCs w:val="23"/>
        </w:rPr>
        <w:t xml:space="preserve"> </w:t>
      </w:r>
      <w:r w:rsidR="002F0649" w:rsidRPr="00A2044C">
        <w:rPr>
          <w:rFonts w:asciiTheme="minorHAnsi" w:hAnsiTheme="minorHAnsi"/>
          <w:i/>
          <w:iCs/>
          <w:sz w:val="23"/>
          <w:szCs w:val="23"/>
        </w:rPr>
        <w:t xml:space="preserve">Post v. </w:t>
      </w:r>
      <w:proofErr w:type="spellStart"/>
      <w:r w:rsidR="002F0649" w:rsidRPr="00A2044C">
        <w:rPr>
          <w:rFonts w:asciiTheme="minorHAnsi" w:hAnsiTheme="minorHAnsi"/>
          <w:i/>
          <w:iCs/>
          <w:sz w:val="23"/>
          <w:szCs w:val="23"/>
        </w:rPr>
        <w:t>the</w:t>
      </w:r>
      <w:proofErr w:type="spellEnd"/>
      <w:r w:rsidR="002F0649" w:rsidRPr="00A2044C">
        <w:rPr>
          <w:rFonts w:asciiTheme="minorHAnsi" w:hAnsiTheme="minorHAnsi"/>
          <w:i/>
          <w:iCs/>
          <w:sz w:val="23"/>
          <w:szCs w:val="23"/>
        </w:rPr>
        <w:t xml:space="preserve"> </w:t>
      </w:r>
      <w:proofErr w:type="spellStart"/>
      <w:r w:rsidR="002F0649" w:rsidRPr="00A2044C">
        <w:rPr>
          <w:rFonts w:asciiTheme="minorHAnsi" w:hAnsiTheme="minorHAnsi"/>
          <w:i/>
          <w:iCs/>
          <w:sz w:val="23"/>
          <w:szCs w:val="23"/>
        </w:rPr>
        <w:t>Netherlands</w:t>
      </w:r>
      <w:proofErr w:type="spellEnd"/>
      <w:r w:rsidR="002F0649" w:rsidRPr="00A2044C">
        <w:rPr>
          <w:rFonts w:asciiTheme="minorHAnsi" w:hAnsiTheme="minorHAnsi"/>
          <w:i/>
          <w:iCs/>
          <w:sz w:val="23"/>
          <w:szCs w:val="23"/>
        </w:rPr>
        <w:t xml:space="preserve"> </w:t>
      </w:r>
      <w:r w:rsidR="002F0649" w:rsidRPr="00A2044C">
        <w:rPr>
          <w:rFonts w:asciiTheme="minorHAnsi" w:hAnsiTheme="minorHAnsi"/>
          <w:sz w:val="23"/>
          <w:szCs w:val="23"/>
        </w:rPr>
        <w:t>(</w:t>
      </w:r>
      <w:proofErr w:type="spellStart"/>
      <w:r w:rsidR="002F0649" w:rsidRPr="00A2044C">
        <w:rPr>
          <w:rFonts w:asciiTheme="minorHAnsi" w:hAnsiTheme="minorHAnsi"/>
          <w:sz w:val="23"/>
          <w:szCs w:val="23"/>
        </w:rPr>
        <w:t>dec</w:t>
      </w:r>
      <w:proofErr w:type="spellEnd"/>
      <w:r w:rsidR="002F0649" w:rsidRPr="00A2044C">
        <w:rPr>
          <w:rFonts w:asciiTheme="minorHAnsi" w:hAnsiTheme="minorHAnsi"/>
          <w:sz w:val="23"/>
          <w:szCs w:val="23"/>
        </w:rPr>
        <w:t xml:space="preserve">.), no. 21727/08, 20 </w:t>
      </w:r>
      <w:r w:rsidR="00B6495A">
        <w:rPr>
          <w:rFonts w:asciiTheme="minorHAnsi" w:hAnsiTheme="minorHAnsi"/>
          <w:sz w:val="23"/>
          <w:szCs w:val="23"/>
        </w:rPr>
        <w:t xml:space="preserve">Ocak </w:t>
      </w:r>
      <w:r w:rsidR="002F0649" w:rsidRPr="00A2044C">
        <w:rPr>
          <w:rFonts w:asciiTheme="minorHAnsi" w:hAnsiTheme="minorHAnsi"/>
          <w:sz w:val="23"/>
          <w:szCs w:val="23"/>
        </w:rPr>
        <w:t xml:space="preserve">2009; ve ayrıca yetkilendirmenin geçerliliği önemlidir. </w:t>
      </w:r>
      <w:r w:rsidR="00B6495A">
        <w:rPr>
          <w:rFonts w:asciiTheme="minorHAnsi" w:hAnsiTheme="minorHAnsi"/>
          <w:sz w:val="23"/>
          <w:szCs w:val="23"/>
        </w:rPr>
        <w:t>Bkz.</w:t>
      </w:r>
      <w:r w:rsidR="009D6874" w:rsidRPr="00A2044C">
        <w:rPr>
          <w:rFonts w:asciiTheme="minorHAnsi" w:hAnsiTheme="minorHAnsi"/>
          <w:sz w:val="23"/>
          <w:szCs w:val="23"/>
        </w:rPr>
        <w:t xml:space="preserve"> </w:t>
      </w:r>
      <w:proofErr w:type="spellStart"/>
      <w:r w:rsidR="009D6874" w:rsidRPr="00A2044C">
        <w:rPr>
          <w:rFonts w:asciiTheme="minorHAnsi" w:hAnsiTheme="minorHAnsi"/>
          <w:i/>
          <w:iCs/>
          <w:sz w:val="23"/>
          <w:szCs w:val="23"/>
        </w:rPr>
        <w:t>Aliev</w:t>
      </w:r>
      <w:proofErr w:type="spellEnd"/>
      <w:r w:rsidR="009D6874" w:rsidRPr="00A2044C">
        <w:rPr>
          <w:rFonts w:asciiTheme="minorHAnsi" w:hAnsiTheme="minorHAnsi"/>
          <w:i/>
          <w:iCs/>
          <w:sz w:val="23"/>
          <w:szCs w:val="23"/>
        </w:rPr>
        <w:t xml:space="preserve"> v. Georgia, </w:t>
      </w:r>
      <w:r w:rsidR="009D6874" w:rsidRPr="00A2044C">
        <w:rPr>
          <w:rFonts w:asciiTheme="minorHAnsi" w:hAnsiTheme="minorHAnsi"/>
          <w:sz w:val="23"/>
          <w:szCs w:val="23"/>
        </w:rPr>
        <w:t xml:space="preserve">no. 522/04, §§ 44-49, 13 </w:t>
      </w:r>
      <w:r w:rsidR="00B6495A">
        <w:rPr>
          <w:rFonts w:asciiTheme="minorHAnsi" w:hAnsiTheme="minorHAnsi"/>
          <w:sz w:val="23"/>
          <w:szCs w:val="23"/>
        </w:rPr>
        <w:t xml:space="preserve">Ocak </w:t>
      </w:r>
      <w:r w:rsidR="009D6874" w:rsidRPr="00A2044C">
        <w:rPr>
          <w:rFonts w:asciiTheme="minorHAnsi" w:hAnsiTheme="minorHAnsi"/>
          <w:sz w:val="23"/>
          <w:szCs w:val="23"/>
        </w:rPr>
        <w:t>2009).</w:t>
      </w:r>
    </w:p>
    <w:p w:rsidR="002F0649" w:rsidRPr="00A2044C" w:rsidRDefault="002F0649"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103.</w:t>
      </w:r>
      <w:r w:rsidRPr="00A2044C">
        <w:rPr>
          <w:rFonts w:asciiTheme="minorHAnsi" w:hAnsiTheme="minorHAnsi"/>
          <w:sz w:val="23"/>
          <w:szCs w:val="23"/>
        </w:rPr>
        <w:t xml:space="preserve"> Ancak, mağdurun 2, 3, ve 8. </w:t>
      </w:r>
      <w:r w:rsidR="00B6495A">
        <w:rPr>
          <w:rFonts w:asciiTheme="minorHAnsi" w:hAnsiTheme="minorHAnsi"/>
          <w:sz w:val="23"/>
          <w:szCs w:val="23"/>
        </w:rPr>
        <w:t>m</w:t>
      </w:r>
      <w:r w:rsidRPr="00A2044C">
        <w:rPr>
          <w:rFonts w:asciiTheme="minorHAnsi" w:hAnsiTheme="minorHAnsi"/>
          <w:sz w:val="23"/>
          <w:szCs w:val="23"/>
        </w:rPr>
        <w:t xml:space="preserve">addelerindeki haklarının </w:t>
      </w:r>
      <w:r w:rsidR="00725CBC" w:rsidRPr="00A2044C">
        <w:rPr>
          <w:rFonts w:asciiTheme="minorHAnsi" w:hAnsiTheme="minorHAnsi"/>
          <w:sz w:val="23"/>
          <w:szCs w:val="23"/>
        </w:rPr>
        <w:t>ulusal makamların elinde ihlal edildiği iddialarında</w:t>
      </w:r>
      <w:r w:rsidRPr="00A2044C">
        <w:rPr>
          <w:rFonts w:asciiTheme="minorHAnsi" w:hAnsiTheme="minorHAnsi"/>
          <w:sz w:val="23"/>
          <w:szCs w:val="23"/>
        </w:rPr>
        <w:t xml:space="preserve"> Sözleşme kurumları </w:t>
      </w:r>
      <w:r w:rsidR="00725CBC" w:rsidRPr="00A2044C">
        <w:rPr>
          <w:rFonts w:asciiTheme="minorHAnsi" w:hAnsiTheme="minorHAnsi"/>
          <w:sz w:val="23"/>
          <w:szCs w:val="23"/>
        </w:rPr>
        <w:t xml:space="preserve">özel bir değerlendirmeye tabi tutulmuştur. </w:t>
      </w:r>
      <w:r w:rsidR="0053433B" w:rsidRPr="00A2044C">
        <w:rPr>
          <w:rFonts w:asciiTheme="minorHAnsi" w:hAnsiTheme="minorHAnsi"/>
          <w:sz w:val="23"/>
          <w:szCs w:val="23"/>
        </w:rPr>
        <w:t>Geçerli usulde bir yetkilendirme sunulmaması halinde dahi mağdur(</w:t>
      </w:r>
      <w:proofErr w:type="spellStart"/>
      <w:r w:rsidR="0053433B" w:rsidRPr="00A2044C">
        <w:rPr>
          <w:rFonts w:asciiTheme="minorHAnsi" w:hAnsiTheme="minorHAnsi"/>
          <w:sz w:val="23"/>
          <w:szCs w:val="23"/>
        </w:rPr>
        <w:t>lar</w:t>
      </w:r>
      <w:proofErr w:type="spellEnd"/>
      <w:r w:rsidR="0053433B" w:rsidRPr="00A2044C">
        <w:rPr>
          <w:rFonts w:asciiTheme="minorHAnsi" w:hAnsiTheme="minorHAnsi"/>
          <w:sz w:val="23"/>
          <w:szCs w:val="23"/>
        </w:rPr>
        <w:t>) adın</w:t>
      </w:r>
      <w:r w:rsidR="00B6495A">
        <w:rPr>
          <w:rFonts w:asciiTheme="minorHAnsi" w:hAnsiTheme="minorHAnsi"/>
          <w:sz w:val="23"/>
          <w:szCs w:val="23"/>
        </w:rPr>
        <w:t>a bireylerce sunulan başvurular</w:t>
      </w:r>
      <w:r w:rsidR="0053433B" w:rsidRPr="00A2044C">
        <w:rPr>
          <w:rFonts w:asciiTheme="minorHAnsi" w:hAnsiTheme="minorHAnsi"/>
          <w:sz w:val="23"/>
          <w:szCs w:val="23"/>
        </w:rPr>
        <w:t xml:space="preserve"> bu nedenle kabul edilebilir bulunmuştur. Mağdurun Mahkemeye konuyla ilgili başvuru yapmasını engelleyebilecek şekilde yaş, cinsiyet ya da engellilik gibi nedenlerle incinebilirliği bakımından ise özel bir değerlendirme yapılmış ve başvuruyu yapan kişi ile mağdur arasındaki bağlantılar da dikkate alınmıştır. </w:t>
      </w:r>
      <w:r w:rsidR="00725CBC" w:rsidRPr="00A2044C">
        <w:rPr>
          <w:rFonts w:asciiTheme="minorHAnsi" w:hAnsiTheme="minorHAnsi"/>
          <w:sz w:val="23"/>
          <w:szCs w:val="23"/>
        </w:rPr>
        <w:t>(</w:t>
      </w:r>
      <w:r w:rsidR="0053433B" w:rsidRPr="00A2044C">
        <w:rPr>
          <w:rFonts w:asciiTheme="minorHAnsi" w:hAnsiTheme="minorHAnsi"/>
          <w:sz w:val="23"/>
          <w:szCs w:val="23"/>
        </w:rPr>
        <w:t>Bkz</w:t>
      </w:r>
      <w:r w:rsidR="00725CBC" w:rsidRPr="00A2044C">
        <w:rPr>
          <w:rFonts w:asciiTheme="minorHAnsi" w:hAnsiTheme="minorHAnsi"/>
          <w:sz w:val="23"/>
          <w:szCs w:val="23"/>
        </w:rPr>
        <w:t xml:space="preserve">, </w:t>
      </w:r>
      <w:proofErr w:type="spellStart"/>
      <w:r w:rsidR="00725CBC" w:rsidRPr="00A2044C">
        <w:rPr>
          <w:rFonts w:asciiTheme="minorHAnsi" w:hAnsiTheme="minorHAnsi"/>
          <w:i/>
          <w:iCs/>
          <w:sz w:val="23"/>
          <w:szCs w:val="23"/>
        </w:rPr>
        <w:t>mutatis</w:t>
      </w:r>
      <w:proofErr w:type="spellEnd"/>
      <w:r w:rsidR="00725CBC" w:rsidRPr="00A2044C">
        <w:rPr>
          <w:rFonts w:asciiTheme="minorHAnsi" w:hAnsiTheme="minorHAnsi"/>
          <w:i/>
          <w:iCs/>
          <w:sz w:val="23"/>
          <w:szCs w:val="23"/>
        </w:rPr>
        <w:t xml:space="preserve"> </w:t>
      </w:r>
      <w:proofErr w:type="spellStart"/>
      <w:r w:rsidR="00725CBC" w:rsidRPr="00A2044C">
        <w:rPr>
          <w:rFonts w:asciiTheme="minorHAnsi" w:hAnsiTheme="minorHAnsi"/>
          <w:i/>
          <w:iCs/>
          <w:sz w:val="23"/>
          <w:szCs w:val="23"/>
        </w:rPr>
        <w:t>mutandis</w:t>
      </w:r>
      <w:proofErr w:type="spellEnd"/>
      <w:r w:rsidR="00725CBC" w:rsidRPr="00A2044C">
        <w:rPr>
          <w:rFonts w:asciiTheme="minorHAnsi" w:hAnsiTheme="minorHAnsi"/>
          <w:sz w:val="23"/>
          <w:szCs w:val="23"/>
        </w:rPr>
        <w:t xml:space="preserve">, </w:t>
      </w:r>
      <w:r w:rsidR="00725CBC" w:rsidRPr="00A2044C">
        <w:rPr>
          <w:rFonts w:asciiTheme="minorHAnsi" w:hAnsiTheme="minorHAnsi"/>
          <w:i/>
          <w:iCs/>
          <w:sz w:val="23"/>
          <w:szCs w:val="23"/>
        </w:rPr>
        <w:t>İlhan</w:t>
      </w:r>
      <w:r w:rsidR="00725CBC" w:rsidRPr="00A2044C">
        <w:rPr>
          <w:rFonts w:asciiTheme="minorHAnsi" w:hAnsiTheme="minorHAnsi"/>
          <w:sz w:val="23"/>
          <w:szCs w:val="23"/>
        </w:rPr>
        <w:t xml:space="preserve">, </w:t>
      </w:r>
      <w:r w:rsidR="0053433B" w:rsidRPr="00A2044C">
        <w:rPr>
          <w:rFonts w:asciiTheme="minorHAnsi" w:hAnsiTheme="minorHAnsi"/>
          <w:sz w:val="23"/>
          <w:szCs w:val="23"/>
        </w:rPr>
        <w:t>yukarıda</w:t>
      </w:r>
      <w:r w:rsidR="00725CBC" w:rsidRPr="00A2044C">
        <w:rPr>
          <w:rFonts w:asciiTheme="minorHAnsi" w:hAnsiTheme="minorHAnsi"/>
          <w:sz w:val="23"/>
          <w:szCs w:val="23"/>
        </w:rPr>
        <w:t xml:space="preserve">, § 55, </w:t>
      </w:r>
      <w:r w:rsidR="0053433B" w:rsidRPr="00A2044C">
        <w:rPr>
          <w:rFonts w:asciiTheme="minorHAnsi" w:hAnsiTheme="minorHAnsi"/>
          <w:sz w:val="23"/>
          <w:szCs w:val="23"/>
        </w:rPr>
        <w:t>kötü muamele gören erkek kardeşinin adına yapılan başvuru</w:t>
      </w:r>
      <w:r w:rsidR="00725CBC" w:rsidRPr="00A2044C">
        <w:rPr>
          <w:rFonts w:asciiTheme="minorHAnsi" w:hAnsiTheme="minorHAnsi"/>
          <w:sz w:val="23"/>
          <w:szCs w:val="23"/>
        </w:rPr>
        <w:t xml:space="preserve">; </w:t>
      </w:r>
      <w:r w:rsidR="005D0D9F" w:rsidRPr="00A2044C">
        <w:rPr>
          <w:rFonts w:asciiTheme="minorHAnsi" w:hAnsiTheme="minorHAnsi"/>
          <w:sz w:val="23"/>
          <w:szCs w:val="23"/>
        </w:rPr>
        <w:t xml:space="preserve">jinekolojik muayeneye zorlanan </w:t>
      </w:r>
      <w:proofErr w:type="spellStart"/>
      <w:r w:rsidR="005D0D9F" w:rsidRPr="00A2044C">
        <w:rPr>
          <w:rFonts w:asciiTheme="minorHAnsi" w:hAnsiTheme="minorHAnsi"/>
          <w:sz w:val="23"/>
          <w:szCs w:val="23"/>
        </w:rPr>
        <w:t>eşiyla</w:t>
      </w:r>
      <w:proofErr w:type="spellEnd"/>
      <w:r w:rsidR="005D0D9F" w:rsidRPr="00A2044C">
        <w:rPr>
          <w:rFonts w:asciiTheme="minorHAnsi" w:hAnsiTheme="minorHAnsi"/>
          <w:sz w:val="23"/>
          <w:szCs w:val="23"/>
        </w:rPr>
        <w:t xml:space="preserve"> ilgili erkek eşin başvurusu </w:t>
      </w:r>
      <w:proofErr w:type="spellStart"/>
      <w:r w:rsidR="005D0D9F" w:rsidRPr="00A2044C">
        <w:rPr>
          <w:rFonts w:asciiTheme="minorHAnsi" w:hAnsiTheme="minorHAnsi"/>
          <w:sz w:val="23"/>
          <w:szCs w:val="23"/>
        </w:rPr>
        <w:t>hk</w:t>
      </w:r>
      <w:proofErr w:type="spellEnd"/>
      <w:r w:rsidR="005D0D9F" w:rsidRPr="00A2044C">
        <w:rPr>
          <w:rFonts w:asciiTheme="minorHAnsi" w:hAnsiTheme="minorHAnsi"/>
          <w:sz w:val="23"/>
          <w:szCs w:val="23"/>
        </w:rPr>
        <w:t xml:space="preserve">. </w:t>
      </w:r>
      <w:r w:rsidR="00725CBC" w:rsidRPr="00A2044C">
        <w:rPr>
          <w:rFonts w:asciiTheme="minorHAnsi" w:hAnsiTheme="minorHAnsi"/>
          <w:i/>
          <w:iCs/>
          <w:sz w:val="23"/>
          <w:szCs w:val="23"/>
        </w:rPr>
        <w:t xml:space="preserve">Y.F. v. </w:t>
      </w:r>
      <w:proofErr w:type="spellStart"/>
      <w:r w:rsidR="00725CBC" w:rsidRPr="00A2044C">
        <w:rPr>
          <w:rFonts w:asciiTheme="minorHAnsi" w:hAnsiTheme="minorHAnsi"/>
          <w:i/>
          <w:iCs/>
          <w:sz w:val="23"/>
          <w:szCs w:val="23"/>
        </w:rPr>
        <w:t>Turkey</w:t>
      </w:r>
      <w:proofErr w:type="spellEnd"/>
      <w:r w:rsidR="00725CBC" w:rsidRPr="00A2044C">
        <w:rPr>
          <w:rFonts w:asciiTheme="minorHAnsi" w:hAnsiTheme="minorHAnsi"/>
          <w:sz w:val="23"/>
          <w:szCs w:val="23"/>
        </w:rPr>
        <w:t>, no. 24209/94, § 29, ECHR 2003–IX ,</w:t>
      </w:r>
      <w:r w:rsidR="005D0D9F" w:rsidRPr="00A2044C">
        <w:rPr>
          <w:rFonts w:asciiTheme="minorHAnsi" w:hAnsiTheme="minorHAnsi"/>
          <w:sz w:val="23"/>
          <w:szCs w:val="23"/>
        </w:rPr>
        <w:t xml:space="preserve"> ve yukarıda anılan iç hukuk yollarında </w:t>
      </w:r>
      <w:r w:rsidR="005D0D9F" w:rsidRPr="00A2044C">
        <w:rPr>
          <w:rFonts w:asciiTheme="minorHAnsi" w:hAnsiTheme="minorHAnsi"/>
          <w:i/>
          <w:iCs/>
          <w:sz w:val="23"/>
          <w:szCs w:val="23"/>
        </w:rPr>
        <w:t xml:space="preserve">ad </w:t>
      </w:r>
      <w:proofErr w:type="spellStart"/>
      <w:r w:rsidR="005D0D9F" w:rsidRPr="00A2044C">
        <w:rPr>
          <w:rFonts w:asciiTheme="minorHAnsi" w:hAnsiTheme="minorHAnsi"/>
          <w:i/>
          <w:iCs/>
          <w:sz w:val="23"/>
          <w:szCs w:val="23"/>
        </w:rPr>
        <w:t>litem</w:t>
      </w:r>
      <w:proofErr w:type="spellEnd"/>
      <w:r w:rsidR="005D0D9F" w:rsidRPr="00A2044C">
        <w:rPr>
          <w:rFonts w:asciiTheme="minorHAnsi" w:hAnsiTheme="minorHAnsi"/>
          <w:sz w:val="23"/>
          <w:szCs w:val="23"/>
        </w:rPr>
        <w:t xml:space="preserve"> atanarak temsil ettiği çocuklar adına başvuru yapan avukat hakkında </w:t>
      </w:r>
      <w:r w:rsidR="00725CBC" w:rsidRPr="00A2044C">
        <w:rPr>
          <w:rFonts w:asciiTheme="minorHAnsi" w:hAnsiTheme="minorHAnsi"/>
          <w:i/>
          <w:iCs/>
          <w:sz w:val="23"/>
          <w:szCs w:val="23"/>
        </w:rPr>
        <w:t xml:space="preserve">S.P., D.P. </w:t>
      </w:r>
      <w:proofErr w:type="spellStart"/>
      <w:r w:rsidR="00725CBC" w:rsidRPr="00A2044C">
        <w:rPr>
          <w:rFonts w:asciiTheme="minorHAnsi" w:hAnsiTheme="minorHAnsi"/>
          <w:i/>
          <w:iCs/>
          <w:sz w:val="23"/>
          <w:szCs w:val="23"/>
        </w:rPr>
        <w:t>and</w:t>
      </w:r>
      <w:proofErr w:type="spellEnd"/>
      <w:r w:rsidR="00725CBC" w:rsidRPr="00A2044C">
        <w:rPr>
          <w:rFonts w:asciiTheme="minorHAnsi" w:hAnsiTheme="minorHAnsi"/>
          <w:i/>
          <w:iCs/>
          <w:sz w:val="23"/>
          <w:szCs w:val="23"/>
        </w:rPr>
        <w:t xml:space="preserve"> A.T. v. </w:t>
      </w:r>
      <w:proofErr w:type="spellStart"/>
      <w:r w:rsidR="00725CBC" w:rsidRPr="00A2044C">
        <w:rPr>
          <w:rFonts w:asciiTheme="minorHAnsi" w:hAnsiTheme="minorHAnsi"/>
          <w:i/>
          <w:iCs/>
          <w:sz w:val="23"/>
          <w:szCs w:val="23"/>
        </w:rPr>
        <w:t>the</w:t>
      </w:r>
      <w:proofErr w:type="spellEnd"/>
      <w:r w:rsidR="00725CBC" w:rsidRPr="00A2044C">
        <w:rPr>
          <w:rFonts w:asciiTheme="minorHAnsi" w:hAnsiTheme="minorHAnsi"/>
          <w:i/>
          <w:iCs/>
          <w:sz w:val="23"/>
          <w:szCs w:val="23"/>
        </w:rPr>
        <w:t xml:space="preserve"> United </w:t>
      </w:r>
      <w:proofErr w:type="spellStart"/>
      <w:r w:rsidR="00725CBC" w:rsidRPr="00A2044C">
        <w:rPr>
          <w:rFonts w:asciiTheme="minorHAnsi" w:hAnsiTheme="minorHAnsi"/>
          <w:i/>
          <w:iCs/>
          <w:sz w:val="23"/>
          <w:szCs w:val="23"/>
        </w:rPr>
        <w:t>Kingdom</w:t>
      </w:r>
      <w:proofErr w:type="spellEnd"/>
      <w:r w:rsidR="00725CBC" w:rsidRPr="00A2044C">
        <w:rPr>
          <w:rFonts w:asciiTheme="minorHAnsi" w:hAnsiTheme="minorHAnsi"/>
          <w:sz w:val="23"/>
          <w:szCs w:val="23"/>
        </w:rPr>
        <w:t>).</w:t>
      </w:r>
    </w:p>
    <w:p w:rsidR="005D0D9F" w:rsidRPr="00A2044C" w:rsidRDefault="005D0D9F" w:rsidP="00793892">
      <w:pPr>
        <w:pStyle w:val="Default"/>
        <w:spacing w:before="240" w:line="276" w:lineRule="auto"/>
        <w:jc w:val="both"/>
        <w:rPr>
          <w:rFonts w:asciiTheme="minorHAnsi" w:hAnsiTheme="minorHAnsi"/>
          <w:sz w:val="23"/>
          <w:szCs w:val="23"/>
        </w:rPr>
      </w:pPr>
      <w:r w:rsidRPr="00A2044C">
        <w:rPr>
          <w:rFonts w:asciiTheme="minorHAnsi" w:hAnsiTheme="minorHAnsi"/>
          <w:sz w:val="23"/>
          <w:szCs w:val="23"/>
        </w:rPr>
        <w:t xml:space="preserve">Buna karşın, </w:t>
      </w:r>
      <w:proofErr w:type="spellStart"/>
      <w:r w:rsidRPr="00A2044C">
        <w:rPr>
          <w:rFonts w:asciiTheme="minorHAnsi" w:hAnsiTheme="minorHAnsi"/>
          <w:i/>
          <w:iCs/>
          <w:sz w:val="23"/>
          <w:szCs w:val="23"/>
        </w:rPr>
        <w:t>Nencheva</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vd</w:t>
      </w:r>
      <w:proofErr w:type="spellEnd"/>
      <w:r w:rsidRPr="00A2044C">
        <w:rPr>
          <w:rFonts w:asciiTheme="minorHAnsi" w:hAnsiTheme="minorHAnsi"/>
          <w:i/>
          <w:iCs/>
          <w:sz w:val="23"/>
          <w:szCs w:val="23"/>
        </w:rPr>
        <w:t>.</w:t>
      </w:r>
      <w:r w:rsidRPr="00A2044C">
        <w:rPr>
          <w:rFonts w:asciiTheme="minorHAnsi" w:hAnsiTheme="minorHAnsi"/>
          <w:iCs/>
          <w:sz w:val="23"/>
          <w:szCs w:val="23"/>
        </w:rPr>
        <w:t>kararında</w:t>
      </w:r>
      <w:r w:rsidRPr="00A2044C">
        <w:rPr>
          <w:rFonts w:asciiTheme="minorHAnsi" w:hAnsiTheme="minorHAnsi"/>
          <w:i/>
          <w:iCs/>
          <w:sz w:val="23"/>
          <w:szCs w:val="23"/>
        </w:rPr>
        <w:t xml:space="preserve"> (</w:t>
      </w:r>
      <w:r w:rsidRPr="00A2044C">
        <w:rPr>
          <w:rFonts w:asciiTheme="minorHAnsi" w:hAnsiTheme="minorHAnsi"/>
          <w:iCs/>
          <w:sz w:val="23"/>
          <w:szCs w:val="23"/>
        </w:rPr>
        <w:t xml:space="preserve">bkz. Yukarıda </w:t>
      </w:r>
      <w:r w:rsidRPr="00A2044C">
        <w:rPr>
          <w:rFonts w:asciiTheme="minorHAnsi" w:hAnsiTheme="minorHAnsi"/>
          <w:sz w:val="23"/>
          <w:szCs w:val="23"/>
        </w:rPr>
        <w:t xml:space="preserve">§ 93) Mahkeme, doğrudan mağdurlar adına hareket eden başvurucu derneğin yerel mahkemeler önünde dava açmaması ve şikayete konu olan ihlale karşın derneğin amaçlarını gerçekleştirebilmesi için çalışmasına devam edebileceği ve bu bakımdan faaliyetleri üzerinde bir etkisi olmadığı gerekçesiyle derneğin mağdur sıfatını kabul etmemiştir. Mahkeme bazı mağdurların yakınlarının ehliyetini tanırken, bir yandan da istisnai koşulların istisnai araçları gerektirebileceğini kabul ederek Mahkeme önünde kendileri adına hareket edemeyen mağdurların temsili sorusunu da açık bırakmıştır. </w:t>
      </w:r>
    </w:p>
    <w:p w:rsidR="005D0D9F" w:rsidRPr="00A2044C" w:rsidRDefault="005D0D9F" w:rsidP="00793892">
      <w:pPr>
        <w:pStyle w:val="Default"/>
        <w:spacing w:before="240" w:line="276" w:lineRule="auto"/>
        <w:jc w:val="both"/>
        <w:rPr>
          <w:rFonts w:asciiTheme="minorHAnsi" w:hAnsiTheme="minorHAnsi"/>
          <w:sz w:val="23"/>
          <w:szCs w:val="23"/>
        </w:rPr>
      </w:pPr>
    </w:p>
    <w:p w:rsidR="005D0D9F" w:rsidRPr="00A2044C" w:rsidRDefault="005D0D9F" w:rsidP="00793892">
      <w:pPr>
        <w:pStyle w:val="Default"/>
        <w:spacing w:before="240" w:line="276" w:lineRule="auto"/>
        <w:jc w:val="both"/>
        <w:rPr>
          <w:rFonts w:asciiTheme="minorHAnsi" w:hAnsiTheme="minorHAnsi"/>
          <w:b/>
          <w:bCs/>
          <w:sz w:val="20"/>
          <w:szCs w:val="20"/>
        </w:rPr>
      </w:pPr>
      <w:r w:rsidRPr="00A2044C">
        <w:rPr>
          <w:rFonts w:asciiTheme="minorHAnsi" w:hAnsiTheme="minorHAnsi"/>
          <w:b/>
          <w:bCs/>
          <w:sz w:val="20"/>
          <w:szCs w:val="20"/>
        </w:rPr>
        <w:t xml:space="preserve">(b) </w:t>
      </w:r>
      <w:proofErr w:type="spellStart"/>
      <w:r w:rsidR="00A013B5" w:rsidRPr="00A2044C">
        <w:rPr>
          <w:rFonts w:asciiTheme="minorHAnsi" w:hAnsiTheme="minorHAnsi"/>
          <w:b/>
          <w:bCs/>
          <w:sz w:val="20"/>
          <w:szCs w:val="20"/>
        </w:rPr>
        <w:t>CLR’nin</w:t>
      </w:r>
      <w:proofErr w:type="spellEnd"/>
      <w:r w:rsidR="00A013B5" w:rsidRPr="00A2044C">
        <w:rPr>
          <w:rFonts w:asciiTheme="minorHAnsi" w:hAnsiTheme="minorHAnsi"/>
          <w:b/>
          <w:bCs/>
          <w:sz w:val="20"/>
          <w:szCs w:val="20"/>
        </w:rPr>
        <w:t xml:space="preserve"> dava açma ehliyeti olup olmadığı hakkında </w:t>
      </w:r>
    </w:p>
    <w:p w:rsidR="00A013B5" w:rsidRPr="00A2044C" w:rsidRDefault="005D0D9F"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104.</w:t>
      </w:r>
      <w:r w:rsidRPr="00A2044C">
        <w:rPr>
          <w:rFonts w:asciiTheme="minorHAnsi" w:hAnsiTheme="minorHAnsi"/>
          <w:sz w:val="23"/>
          <w:szCs w:val="23"/>
        </w:rPr>
        <w:t xml:space="preserve"> </w:t>
      </w:r>
      <w:r w:rsidR="00A013B5" w:rsidRPr="00A2044C">
        <w:rPr>
          <w:rFonts w:asciiTheme="minorHAnsi" w:hAnsiTheme="minorHAnsi"/>
          <w:sz w:val="23"/>
          <w:szCs w:val="23"/>
        </w:rPr>
        <w:t xml:space="preserve">Bu dava, yakınları olmayan ve üst düzeyde incinebilir bir kişi olan, çeşitli zihinsel engelleri ve HIV hastası olan, bütün hayatını devlet makamlarının bakımı altında geçirmiş ve ihmal sonucunda hastanede ölmüş olan Bay </w:t>
      </w:r>
      <w:proofErr w:type="spellStart"/>
      <w:r w:rsidR="00A013B5" w:rsidRPr="00A2044C">
        <w:rPr>
          <w:rFonts w:asciiTheme="minorHAnsi" w:hAnsiTheme="minorHAnsi"/>
          <w:sz w:val="23"/>
          <w:szCs w:val="23"/>
        </w:rPr>
        <w:t>Câmpeanu’yla</w:t>
      </w:r>
      <w:proofErr w:type="spellEnd"/>
      <w:r w:rsidR="00A013B5" w:rsidRPr="00A2044C">
        <w:rPr>
          <w:rFonts w:asciiTheme="minorHAnsi" w:hAnsiTheme="minorHAnsi"/>
          <w:sz w:val="23"/>
          <w:szCs w:val="23"/>
        </w:rPr>
        <w:t xml:space="preserve"> ilgilidir.  Ölümünü takiben ve yaşarken gerçek anlamda bir temasta bulunmamış olan (Yukarıda bkz. Paragraf 23) ya da ondan doğrudan veya yetkili bir kişi tarafından yetkilendirme veya talimat almamış olan başvurucu dernek (CLR) diğer iddiaların yanında ölüm koşullarıyla ilgili olarak Mahkeme önüne bir başvuru getirmeye çalışmaktadır.  </w:t>
      </w:r>
    </w:p>
    <w:p w:rsidR="00DF24F5" w:rsidRPr="00A2044C" w:rsidRDefault="00A013B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105.</w:t>
      </w:r>
      <w:r w:rsidRPr="00A2044C">
        <w:rPr>
          <w:rFonts w:asciiTheme="minorHAnsi" w:hAnsiTheme="minorHAnsi"/>
          <w:sz w:val="23"/>
          <w:szCs w:val="23"/>
        </w:rPr>
        <w:t xml:space="preserve"> Mahkemeye göre bu dava yukarıda bahsedilen içtihadı kapsayan kategorilerin hiçbirine doğrudan girmez ve bu nedenle </w:t>
      </w:r>
      <w:proofErr w:type="spellStart"/>
      <w:r w:rsidRPr="00A2044C">
        <w:rPr>
          <w:rFonts w:asciiTheme="minorHAnsi" w:hAnsiTheme="minorHAnsi"/>
          <w:sz w:val="23"/>
          <w:szCs w:val="23"/>
        </w:rPr>
        <w:t>CLR’nin</w:t>
      </w:r>
      <w:proofErr w:type="spellEnd"/>
      <w:r w:rsidRPr="00A2044C">
        <w:rPr>
          <w:rFonts w:asciiTheme="minorHAnsi" w:hAnsiTheme="minorHAnsi"/>
          <w:sz w:val="23"/>
          <w:szCs w:val="23"/>
        </w:rPr>
        <w:t xml:space="preserve"> dava açma ehliyetiyle ilgili olarak Sözleşmenin yorumunda zor bir soru oluşturur. Bu soruya cevap verebilmek için Mahkeme, hakların korunması bakımından Sözleşmenin teorik ve sanal olmanın ötesinde pratik ve etkili olacak biçimde yorumlanması gerektiğini dikkate alır. (Bkz. </w:t>
      </w:r>
      <w:proofErr w:type="spellStart"/>
      <w:r w:rsidRPr="00A2044C">
        <w:rPr>
          <w:rFonts w:asciiTheme="minorHAnsi" w:hAnsiTheme="minorHAnsi"/>
          <w:i/>
          <w:iCs/>
          <w:sz w:val="23"/>
          <w:szCs w:val="23"/>
        </w:rPr>
        <w:t>Artico</w:t>
      </w:r>
      <w:proofErr w:type="spellEnd"/>
      <w:r w:rsidRPr="00A2044C">
        <w:rPr>
          <w:rFonts w:asciiTheme="minorHAnsi" w:hAnsiTheme="minorHAnsi"/>
          <w:i/>
          <w:iCs/>
          <w:sz w:val="23"/>
          <w:szCs w:val="23"/>
        </w:rPr>
        <w:t xml:space="preserve"> v. </w:t>
      </w:r>
      <w:proofErr w:type="spellStart"/>
      <w:r w:rsidRPr="00A2044C">
        <w:rPr>
          <w:rFonts w:asciiTheme="minorHAnsi" w:hAnsiTheme="minorHAnsi"/>
          <w:i/>
          <w:iCs/>
          <w:sz w:val="23"/>
          <w:szCs w:val="23"/>
        </w:rPr>
        <w:t>Italy</w:t>
      </w:r>
      <w:proofErr w:type="spellEnd"/>
      <w:r w:rsidRPr="00A2044C">
        <w:rPr>
          <w:rFonts w:asciiTheme="minorHAnsi" w:hAnsiTheme="minorHAnsi"/>
          <w:sz w:val="23"/>
          <w:szCs w:val="23"/>
        </w:rPr>
        <w:t xml:space="preserve">, 13 May 1980, § 33, </w:t>
      </w:r>
      <w:proofErr w:type="spellStart"/>
      <w:r w:rsidRPr="00A2044C">
        <w:rPr>
          <w:rFonts w:asciiTheme="minorHAnsi" w:hAnsiTheme="minorHAnsi"/>
          <w:sz w:val="23"/>
          <w:szCs w:val="23"/>
        </w:rPr>
        <w:t>Series</w:t>
      </w:r>
      <w:proofErr w:type="spellEnd"/>
      <w:r w:rsidRPr="00A2044C">
        <w:rPr>
          <w:rFonts w:asciiTheme="minorHAnsi" w:hAnsiTheme="minorHAnsi"/>
          <w:sz w:val="23"/>
          <w:szCs w:val="23"/>
        </w:rPr>
        <w:t xml:space="preserve"> A no. 37 ve bu kararda anılanlar)</w:t>
      </w:r>
      <w:r w:rsidR="00DF24F5" w:rsidRPr="00A2044C">
        <w:rPr>
          <w:rFonts w:asciiTheme="minorHAnsi" w:hAnsiTheme="minorHAnsi"/>
          <w:sz w:val="23"/>
          <w:szCs w:val="23"/>
        </w:rPr>
        <w:t xml:space="preserve">. </w:t>
      </w:r>
      <w:r w:rsidRPr="00A2044C">
        <w:rPr>
          <w:rFonts w:asciiTheme="minorHAnsi" w:hAnsiTheme="minorHAnsi"/>
          <w:sz w:val="23"/>
          <w:szCs w:val="23"/>
        </w:rPr>
        <w:t>Ayrıca</w:t>
      </w:r>
      <w:r w:rsidR="00DF24F5" w:rsidRPr="00A2044C">
        <w:rPr>
          <w:rFonts w:asciiTheme="minorHAnsi" w:hAnsiTheme="minorHAnsi"/>
          <w:sz w:val="23"/>
          <w:szCs w:val="23"/>
        </w:rPr>
        <w:t>,</w:t>
      </w:r>
      <w:r w:rsidRPr="00A2044C">
        <w:rPr>
          <w:rFonts w:asciiTheme="minorHAnsi" w:hAnsiTheme="minorHAnsi"/>
          <w:sz w:val="23"/>
          <w:szCs w:val="23"/>
        </w:rPr>
        <w:t xml:space="preserve"> Mahkemenin kararlarının “sadece Mahkeme önüne </w:t>
      </w:r>
      <w:r w:rsidRPr="00A2044C">
        <w:rPr>
          <w:rFonts w:asciiTheme="minorHAnsi" w:hAnsiTheme="minorHAnsi"/>
          <w:sz w:val="23"/>
          <w:szCs w:val="23"/>
        </w:rPr>
        <w:lastRenderedPageBreak/>
        <w:t xml:space="preserve">getirilen davalarda karar vermeye değil, daha genel olarak </w:t>
      </w:r>
      <w:r w:rsidR="00DF24F5" w:rsidRPr="00A2044C">
        <w:rPr>
          <w:rFonts w:asciiTheme="minorHAnsi" w:hAnsiTheme="minorHAnsi"/>
          <w:sz w:val="23"/>
          <w:szCs w:val="23"/>
        </w:rPr>
        <w:t xml:space="preserve">Sözleşmede belirtilen hakların açıklanması, korunması ve geliştirilmesine hizmet ettiği ve aynı zamanda Taraf Devletler olarak devletlerin üstlendiği yükümlülüklerin gözlenmesine katkıda bulunduğu” da akılda tutulmalıdır. </w:t>
      </w:r>
      <w:r w:rsidRPr="00A2044C">
        <w:rPr>
          <w:rFonts w:asciiTheme="minorHAnsi" w:hAnsiTheme="minorHAnsi"/>
          <w:sz w:val="23"/>
          <w:szCs w:val="23"/>
        </w:rPr>
        <w:t>(</w:t>
      </w:r>
      <w:r w:rsidR="00DF24F5" w:rsidRPr="00A2044C">
        <w:rPr>
          <w:rFonts w:asciiTheme="minorHAnsi" w:hAnsiTheme="minorHAnsi"/>
          <w:sz w:val="23"/>
          <w:szCs w:val="23"/>
        </w:rPr>
        <w:t xml:space="preserve">Bkz. </w:t>
      </w:r>
      <w:proofErr w:type="spellStart"/>
      <w:r w:rsidRPr="00A2044C">
        <w:rPr>
          <w:rFonts w:asciiTheme="minorHAnsi" w:hAnsiTheme="minorHAnsi"/>
          <w:i/>
          <w:iCs/>
          <w:sz w:val="23"/>
          <w:szCs w:val="23"/>
        </w:rPr>
        <w:t>Ireland</w:t>
      </w:r>
      <w:proofErr w:type="spellEnd"/>
      <w:r w:rsidRPr="00A2044C">
        <w:rPr>
          <w:rFonts w:asciiTheme="minorHAnsi" w:hAnsiTheme="minorHAnsi"/>
          <w:i/>
          <w:iCs/>
          <w:sz w:val="23"/>
          <w:szCs w:val="23"/>
        </w:rPr>
        <w:t xml:space="preserve"> v. </w:t>
      </w:r>
      <w:proofErr w:type="spellStart"/>
      <w:r w:rsidRPr="00A2044C">
        <w:rPr>
          <w:rFonts w:asciiTheme="minorHAnsi" w:hAnsiTheme="minorHAnsi"/>
          <w:i/>
          <w:iCs/>
          <w:sz w:val="23"/>
          <w:szCs w:val="23"/>
        </w:rPr>
        <w:t>the</w:t>
      </w:r>
      <w:proofErr w:type="spellEnd"/>
      <w:r w:rsidRPr="00A2044C">
        <w:rPr>
          <w:rFonts w:asciiTheme="minorHAnsi" w:hAnsiTheme="minorHAnsi"/>
          <w:i/>
          <w:iCs/>
          <w:sz w:val="23"/>
          <w:szCs w:val="23"/>
        </w:rPr>
        <w:t xml:space="preserve"> United </w:t>
      </w:r>
      <w:proofErr w:type="spellStart"/>
      <w:r w:rsidRPr="00A2044C">
        <w:rPr>
          <w:rFonts w:asciiTheme="minorHAnsi" w:hAnsiTheme="minorHAnsi"/>
          <w:i/>
          <w:iCs/>
          <w:sz w:val="23"/>
          <w:szCs w:val="23"/>
        </w:rPr>
        <w:t>Kingdom</w:t>
      </w:r>
      <w:proofErr w:type="spellEnd"/>
      <w:r w:rsidRPr="00A2044C">
        <w:rPr>
          <w:rFonts w:asciiTheme="minorHAnsi" w:hAnsiTheme="minorHAnsi"/>
          <w:sz w:val="23"/>
          <w:szCs w:val="23"/>
        </w:rPr>
        <w:t xml:space="preserve">, 18 </w:t>
      </w:r>
      <w:proofErr w:type="spellStart"/>
      <w:r w:rsidRPr="00A2044C">
        <w:rPr>
          <w:rFonts w:asciiTheme="minorHAnsi" w:hAnsiTheme="minorHAnsi"/>
          <w:sz w:val="23"/>
          <w:szCs w:val="23"/>
        </w:rPr>
        <w:t>January</w:t>
      </w:r>
      <w:proofErr w:type="spellEnd"/>
      <w:r w:rsidRPr="00A2044C">
        <w:rPr>
          <w:rFonts w:asciiTheme="minorHAnsi" w:hAnsiTheme="minorHAnsi"/>
          <w:sz w:val="23"/>
          <w:szCs w:val="23"/>
        </w:rPr>
        <w:t xml:space="preserve"> 1978, § 154, </w:t>
      </w:r>
      <w:proofErr w:type="spellStart"/>
      <w:r w:rsidRPr="00A2044C">
        <w:rPr>
          <w:rFonts w:asciiTheme="minorHAnsi" w:hAnsiTheme="minorHAnsi"/>
          <w:sz w:val="23"/>
          <w:szCs w:val="23"/>
        </w:rPr>
        <w:t>Series</w:t>
      </w:r>
      <w:proofErr w:type="spellEnd"/>
      <w:r w:rsidRPr="00A2044C">
        <w:rPr>
          <w:rFonts w:asciiTheme="minorHAnsi" w:hAnsiTheme="minorHAnsi"/>
          <w:sz w:val="23"/>
          <w:szCs w:val="23"/>
        </w:rPr>
        <w:t xml:space="preserve"> A no. 25, </w:t>
      </w:r>
      <w:proofErr w:type="spellStart"/>
      <w:r w:rsidRPr="00A2044C">
        <w:rPr>
          <w:rFonts w:asciiTheme="minorHAnsi" w:hAnsiTheme="minorHAnsi"/>
          <w:sz w:val="23"/>
          <w:szCs w:val="23"/>
        </w:rPr>
        <w:t>and</w:t>
      </w:r>
      <w:proofErr w:type="spellEnd"/>
      <w:r w:rsidRPr="00A2044C">
        <w:rPr>
          <w:rFonts w:asciiTheme="minorHAnsi" w:hAnsiTheme="minorHAnsi"/>
          <w:sz w:val="23"/>
          <w:szCs w:val="23"/>
        </w:rPr>
        <w:t xml:space="preserve"> </w:t>
      </w:r>
      <w:proofErr w:type="spellStart"/>
      <w:r w:rsidRPr="00A2044C">
        <w:rPr>
          <w:rFonts w:asciiTheme="minorHAnsi" w:hAnsiTheme="minorHAnsi"/>
          <w:i/>
          <w:iCs/>
          <w:sz w:val="23"/>
          <w:szCs w:val="23"/>
        </w:rPr>
        <w:t>Konstantin</w:t>
      </w:r>
      <w:proofErr w:type="spellEnd"/>
      <w:r w:rsidRPr="00A2044C">
        <w:rPr>
          <w:rFonts w:asciiTheme="minorHAnsi" w:hAnsiTheme="minorHAnsi"/>
          <w:i/>
          <w:iCs/>
          <w:sz w:val="23"/>
          <w:szCs w:val="23"/>
        </w:rPr>
        <w:t xml:space="preserve"> Markin v. </w:t>
      </w:r>
      <w:proofErr w:type="spellStart"/>
      <w:r w:rsidRPr="00A2044C">
        <w:rPr>
          <w:rFonts w:asciiTheme="minorHAnsi" w:hAnsiTheme="minorHAnsi"/>
          <w:i/>
          <w:iCs/>
          <w:sz w:val="23"/>
          <w:szCs w:val="23"/>
        </w:rPr>
        <w:t>Russia</w:t>
      </w:r>
      <w:proofErr w:type="spellEnd"/>
      <w:r w:rsidRPr="00A2044C">
        <w:rPr>
          <w:rFonts w:asciiTheme="minorHAnsi" w:hAnsiTheme="minorHAnsi"/>
          <w:i/>
          <w:iCs/>
          <w:sz w:val="23"/>
          <w:szCs w:val="23"/>
        </w:rPr>
        <w:t xml:space="preserve"> </w:t>
      </w:r>
      <w:r w:rsidRPr="00A2044C">
        <w:rPr>
          <w:rFonts w:asciiTheme="minorHAnsi" w:hAnsiTheme="minorHAnsi"/>
          <w:sz w:val="23"/>
          <w:szCs w:val="23"/>
        </w:rPr>
        <w:t xml:space="preserve">[GC], no. 30078/06, § 89, ECHR 2012). </w:t>
      </w:r>
      <w:r w:rsidR="00DF24F5" w:rsidRPr="00A2044C">
        <w:rPr>
          <w:rFonts w:asciiTheme="minorHAnsi" w:hAnsiTheme="minorHAnsi"/>
          <w:sz w:val="23"/>
          <w:szCs w:val="23"/>
        </w:rPr>
        <w:t xml:space="preserve">Aynı zamanda mağdur sıfatıyla ve “dava açma ehliyeti” nosyonuyla ilgili olarak yukarıdaki içtihada da yansıdığı üzere Mahkeme, kabul edilebilirlik koşulları bakımından erişimin sağlanmasının da istikrarlı bir şekilde yorumlanmasını sağlamalıdır.  </w:t>
      </w:r>
    </w:p>
    <w:p w:rsidR="00DF24F5" w:rsidRPr="00A2044C" w:rsidRDefault="00DF24F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106.</w:t>
      </w:r>
      <w:r w:rsidRPr="00A2044C">
        <w:rPr>
          <w:rFonts w:asciiTheme="minorHAnsi" w:hAnsiTheme="minorHAnsi"/>
          <w:sz w:val="23"/>
          <w:szCs w:val="23"/>
        </w:rPr>
        <w:t xml:space="preserve"> Mahkeme, Sözleşmenin 34. Maddesi bakımından Bay </w:t>
      </w:r>
      <w:proofErr w:type="spellStart"/>
      <w:r w:rsidRPr="00A2044C">
        <w:rPr>
          <w:rFonts w:asciiTheme="minorHAnsi" w:hAnsiTheme="minorHAnsi"/>
          <w:sz w:val="23"/>
          <w:szCs w:val="23"/>
        </w:rPr>
        <w:t>Câmpeanu’nun</w:t>
      </w:r>
      <w:proofErr w:type="spellEnd"/>
      <w:r w:rsidRPr="00A2044C">
        <w:rPr>
          <w:rFonts w:asciiTheme="minorHAnsi" w:hAnsiTheme="minorHAnsi"/>
          <w:sz w:val="23"/>
          <w:szCs w:val="23"/>
        </w:rPr>
        <w:t xml:space="preserve"> sonunda ölümüne yol açan ve bu davada Mahkeme önüne getirilen sorunun temelinde, kısaca Sözleşmenin 2. maddesinin ihlali iddiasıyla yapılan bu başvurunun koşullarında doğrudan mağdur sıfatını tartışmasız kabul etmektedir. </w:t>
      </w:r>
    </w:p>
    <w:p w:rsidR="00DF24F5" w:rsidRPr="00A2044C" w:rsidRDefault="00DF24F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107.</w:t>
      </w:r>
      <w:r w:rsidRPr="00A2044C">
        <w:rPr>
          <w:rFonts w:asciiTheme="minorHAnsi" w:hAnsiTheme="minorHAnsi"/>
          <w:sz w:val="23"/>
          <w:szCs w:val="23"/>
        </w:rPr>
        <w:t xml:space="preserve"> Diğer yandan, mahkeme, </w:t>
      </w:r>
      <w:proofErr w:type="spellStart"/>
      <w:r w:rsidR="00147855" w:rsidRPr="00A2044C">
        <w:rPr>
          <w:rFonts w:asciiTheme="minorHAnsi" w:hAnsiTheme="minorHAnsi"/>
          <w:sz w:val="23"/>
          <w:szCs w:val="23"/>
        </w:rPr>
        <w:t>CLR’yi</w:t>
      </w:r>
      <w:proofErr w:type="spellEnd"/>
      <w:r w:rsidR="00147855" w:rsidRPr="00A2044C">
        <w:rPr>
          <w:rFonts w:asciiTheme="minorHAnsi" w:hAnsiTheme="minorHAnsi"/>
          <w:sz w:val="23"/>
          <w:szCs w:val="23"/>
        </w:rPr>
        <w:t xml:space="preserve"> kendi içtihadı kapsamında dolaylı mağdur olarak değerlendirmek için yeterli makul gerekçe de bulamamıştır. CLR doğrudan mağdurla yeterli düzeyde “yakın bağlantı” kurmamış ya da mahkemeye bu başvuruyu getirmekte Mahkemenin önceki içtihadında kavramların tanımlandığı haliyle “kişisel menfaat”i olduğunu iddia etmemiştir. </w:t>
      </w:r>
    </w:p>
    <w:p w:rsidR="00147855" w:rsidRPr="00A2044C" w:rsidRDefault="00DF24F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108.</w:t>
      </w:r>
      <w:r w:rsidRPr="00A2044C">
        <w:rPr>
          <w:rFonts w:asciiTheme="minorHAnsi" w:hAnsiTheme="minorHAnsi"/>
          <w:sz w:val="23"/>
          <w:szCs w:val="23"/>
        </w:rPr>
        <w:t xml:space="preserve"> </w:t>
      </w:r>
      <w:r w:rsidR="00147855" w:rsidRPr="00A2044C">
        <w:rPr>
          <w:rFonts w:asciiTheme="minorHAnsi" w:hAnsiTheme="minorHAnsi"/>
          <w:sz w:val="23"/>
          <w:szCs w:val="23"/>
        </w:rPr>
        <w:t xml:space="preserve">Yaşarken Bay </w:t>
      </w:r>
      <w:proofErr w:type="spellStart"/>
      <w:r w:rsidRPr="00A2044C">
        <w:rPr>
          <w:rFonts w:asciiTheme="minorHAnsi" w:hAnsiTheme="minorHAnsi"/>
          <w:sz w:val="23"/>
          <w:szCs w:val="23"/>
        </w:rPr>
        <w:t>Câmpeanu</w:t>
      </w:r>
      <w:proofErr w:type="spellEnd"/>
      <w:r w:rsidRPr="00A2044C">
        <w:rPr>
          <w:rFonts w:asciiTheme="minorHAnsi" w:hAnsiTheme="minorHAnsi"/>
          <w:sz w:val="23"/>
          <w:szCs w:val="23"/>
        </w:rPr>
        <w:t xml:space="preserve"> </w:t>
      </w:r>
      <w:r w:rsidR="00147855" w:rsidRPr="00A2044C">
        <w:rPr>
          <w:rFonts w:asciiTheme="minorHAnsi" w:hAnsiTheme="minorHAnsi"/>
          <w:sz w:val="23"/>
          <w:szCs w:val="23"/>
        </w:rPr>
        <w:t xml:space="preserve">kendi tıbbi ve hukuki durumuyla ilgili yerel mahkemelerde herhangi bir dava açma girişiminde bulunmamıştır. Her ne kadar şekli anlamda tam hukuki ehliyete sahip olsa da fiilen kendisine ehliyete sahip değilmiş gibi davranılmadığı görülmektedir. </w:t>
      </w:r>
      <w:r w:rsidRPr="00A2044C">
        <w:rPr>
          <w:rFonts w:asciiTheme="minorHAnsi" w:hAnsiTheme="minorHAnsi"/>
          <w:sz w:val="23"/>
          <w:szCs w:val="23"/>
        </w:rPr>
        <w:t>(</w:t>
      </w:r>
      <w:r w:rsidR="00147855" w:rsidRPr="00A2044C">
        <w:rPr>
          <w:rFonts w:asciiTheme="minorHAnsi" w:hAnsiTheme="minorHAnsi"/>
          <w:sz w:val="23"/>
          <w:szCs w:val="23"/>
        </w:rPr>
        <w:t xml:space="preserve">Bkz. Yukarıda </w:t>
      </w:r>
      <w:r w:rsidRPr="00A2044C">
        <w:rPr>
          <w:rFonts w:asciiTheme="minorHAnsi" w:hAnsiTheme="minorHAnsi"/>
          <w:sz w:val="23"/>
          <w:szCs w:val="23"/>
        </w:rPr>
        <w:t xml:space="preserve">14 </w:t>
      </w:r>
      <w:r w:rsidR="00147855" w:rsidRPr="00A2044C">
        <w:rPr>
          <w:rFonts w:asciiTheme="minorHAnsi" w:hAnsiTheme="minorHAnsi"/>
          <w:sz w:val="23"/>
          <w:szCs w:val="23"/>
        </w:rPr>
        <w:t xml:space="preserve">ve </w:t>
      </w:r>
      <w:r w:rsidRPr="00A2044C">
        <w:rPr>
          <w:rFonts w:asciiTheme="minorHAnsi" w:hAnsiTheme="minorHAnsi"/>
          <w:sz w:val="23"/>
          <w:szCs w:val="23"/>
        </w:rPr>
        <w:t>16</w:t>
      </w:r>
      <w:r w:rsidR="00147855" w:rsidRPr="00A2044C">
        <w:rPr>
          <w:rFonts w:asciiTheme="minorHAnsi" w:hAnsiTheme="minorHAnsi"/>
          <w:sz w:val="23"/>
          <w:szCs w:val="23"/>
        </w:rPr>
        <w:t xml:space="preserve">. Paragraflar) Her koşulda kendisinin olağandışı incinebilirliği/savunmasızlığını dikkate alarak Mahkeme hukuki destek ve danışma almaksızın kendi başına bu tür bir girişimde bulunmaya ehil olmadığını kabul etmektedir.  Bu nedenle Bay </w:t>
      </w:r>
      <w:proofErr w:type="spellStart"/>
      <w:r w:rsidR="00147855" w:rsidRPr="00A2044C">
        <w:rPr>
          <w:rFonts w:asciiTheme="minorHAnsi" w:hAnsiTheme="minorHAnsi"/>
          <w:sz w:val="23"/>
          <w:szCs w:val="23"/>
        </w:rPr>
        <w:t>Câmpeanu</w:t>
      </w:r>
      <w:proofErr w:type="spellEnd"/>
      <w:r w:rsidR="00147855" w:rsidRPr="00A2044C">
        <w:rPr>
          <w:rFonts w:asciiTheme="minorHAnsi" w:hAnsiTheme="minorHAnsi"/>
          <w:sz w:val="23"/>
          <w:szCs w:val="23"/>
        </w:rPr>
        <w:t xml:space="preserve"> Mahkemenin önüne gelen diğer davalara göre tamamen farklı ve daha aleyhe bir konuma sahiptir. </w:t>
      </w:r>
      <w:r w:rsidR="009A6257" w:rsidRPr="00A2044C">
        <w:rPr>
          <w:rFonts w:asciiTheme="minorHAnsi" w:hAnsiTheme="minorHAnsi"/>
          <w:sz w:val="23"/>
          <w:szCs w:val="23"/>
        </w:rPr>
        <w:t>Önceki davadakiler h</w:t>
      </w:r>
      <w:r w:rsidR="00147855" w:rsidRPr="00A2044C">
        <w:rPr>
          <w:rFonts w:asciiTheme="minorHAnsi" w:hAnsiTheme="minorHAnsi"/>
          <w:sz w:val="23"/>
          <w:szCs w:val="23"/>
        </w:rPr>
        <w:t>ukuki ehliyete sahip ya da en azından yaşamları boyunca hukuki yollara başvurmaktan alıkonmayan (Bkz. Yukarıda 98 ve 100. Paragraflar) ve ölümünden sonra adla</w:t>
      </w:r>
      <w:r w:rsidR="009A6257" w:rsidRPr="00A2044C">
        <w:rPr>
          <w:rFonts w:asciiTheme="minorHAnsi" w:hAnsiTheme="minorHAnsi"/>
          <w:sz w:val="23"/>
          <w:szCs w:val="23"/>
        </w:rPr>
        <w:t>rın başvuru yapılan ilgili kişilerdi</w:t>
      </w:r>
      <w:r w:rsidR="00147855" w:rsidRPr="00A2044C">
        <w:rPr>
          <w:rFonts w:asciiTheme="minorHAnsi" w:hAnsiTheme="minorHAnsi"/>
          <w:sz w:val="23"/>
          <w:szCs w:val="23"/>
        </w:rPr>
        <w:t>r</w:t>
      </w:r>
      <w:r w:rsidR="009A6257" w:rsidRPr="00A2044C">
        <w:rPr>
          <w:rFonts w:asciiTheme="minorHAnsi" w:hAnsiTheme="minorHAnsi"/>
          <w:sz w:val="23"/>
          <w:szCs w:val="23"/>
        </w:rPr>
        <w:t xml:space="preserve">. </w:t>
      </w:r>
      <w:r w:rsidR="00147855" w:rsidRPr="00A2044C">
        <w:rPr>
          <w:rFonts w:asciiTheme="minorHAnsi" w:hAnsiTheme="minorHAnsi"/>
          <w:sz w:val="23"/>
          <w:szCs w:val="23"/>
        </w:rPr>
        <w:t xml:space="preserve"> </w:t>
      </w:r>
    </w:p>
    <w:p w:rsidR="009A6257" w:rsidRPr="00A2044C" w:rsidRDefault="00DF24F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109.</w:t>
      </w:r>
      <w:r w:rsidRPr="00A2044C">
        <w:rPr>
          <w:rFonts w:asciiTheme="minorHAnsi" w:hAnsiTheme="minorHAnsi"/>
          <w:sz w:val="23"/>
          <w:szCs w:val="23"/>
        </w:rPr>
        <w:t xml:space="preserve"> </w:t>
      </w:r>
      <w:r w:rsidR="009A6257" w:rsidRPr="00A2044C">
        <w:rPr>
          <w:rFonts w:asciiTheme="minorHAnsi" w:hAnsiTheme="minorHAnsi"/>
          <w:sz w:val="23"/>
          <w:szCs w:val="23"/>
        </w:rPr>
        <w:t xml:space="preserve">Bay </w:t>
      </w:r>
      <w:proofErr w:type="spellStart"/>
      <w:r w:rsidRPr="00A2044C">
        <w:rPr>
          <w:rFonts w:asciiTheme="minorHAnsi" w:hAnsiTheme="minorHAnsi"/>
          <w:sz w:val="23"/>
          <w:szCs w:val="23"/>
        </w:rPr>
        <w:t>Câmpeanu</w:t>
      </w:r>
      <w:r w:rsidR="009A6257" w:rsidRPr="00A2044C">
        <w:rPr>
          <w:rFonts w:asciiTheme="minorHAnsi" w:hAnsiTheme="minorHAnsi"/>
          <w:sz w:val="23"/>
          <w:szCs w:val="23"/>
        </w:rPr>
        <w:t>’nun</w:t>
      </w:r>
      <w:proofErr w:type="spellEnd"/>
      <w:r w:rsidR="009A6257" w:rsidRPr="00A2044C">
        <w:rPr>
          <w:rFonts w:asciiTheme="minorHAnsi" w:hAnsiTheme="minorHAnsi"/>
          <w:sz w:val="23"/>
          <w:szCs w:val="23"/>
        </w:rPr>
        <w:t xml:space="preserve"> ölümünden sonra CLR onun ölümüne yol açan ve kuşatan koşulların açığa çıkması için çeşitli iç hukuk yollarına başvurmuştur. Son olarak, Bay </w:t>
      </w:r>
      <w:proofErr w:type="spellStart"/>
      <w:r w:rsidR="009A6257" w:rsidRPr="00A2044C">
        <w:rPr>
          <w:rFonts w:asciiTheme="minorHAnsi" w:hAnsiTheme="minorHAnsi"/>
          <w:sz w:val="23"/>
          <w:szCs w:val="23"/>
        </w:rPr>
        <w:t>Câmpeanu’nun</w:t>
      </w:r>
      <w:proofErr w:type="spellEnd"/>
      <w:r w:rsidR="009A6257" w:rsidRPr="00A2044C">
        <w:rPr>
          <w:rFonts w:asciiTheme="minorHAnsi" w:hAnsiTheme="minorHAnsi"/>
          <w:sz w:val="23"/>
          <w:szCs w:val="23"/>
        </w:rPr>
        <w:t xml:space="preserve"> ölümüyle ilgili olarak ceza hukuku anlamında herhangi bir suç işlenmediğine karar verilince CLR bu başvuruyu Mahkemeye sunmuştur. </w:t>
      </w:r>
    </w:p>
    <w:p w:rsidR="009A6257" w:rsidRPr="00A2044C" w:rsidRDefault="00DF24F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110.</w:t>
      </w:r>
      <w:r w:rsidRPr="00A2044C">
        <w:rPr>
          <w:rFonts w:asciiTheme="minorHAnsi" w:hAnsiTheme="minorHAnsi"/>
          <w:sz w:val="23"/>
          <w:szCs w:val="23"/>
        </w:rPr>
        <w:t xml:space="preserve"> </w:t>
      </w:r>
      <w:r w:rsidR="009A6257" w:rsidRPr="00A2044C">
        <w:rPr>
          <w:rFonts w:asciiTheme="minorHAnsi" w:hAnsiTheme="minorHAnsi"/>
          <w:sz w:val="23"/>
          <w:szCs w:val="23"/>
        </w:rPr>
        <w:t xml:space="preserve">Mahkeme </w:t>
      </w:r>
      <w:proofErr w:type="spellStart"/>
      <w:r w:rsidR="000E46CE" w:rsidRPr="00A2044C">
        <w:rPr>
          <w:rFonts w:asciiTheme="minorHAnsi" w:hAnsiTheme="minorHAnsi"/>
          <w:sz w:val="23"/>
          <w:szCs w:val="23"/>
        </w:rPr>
        <w:t>CLR’nin</w:t>
      </w:r>
      <w:proofErr w:type="spellEnd"/>
      <w:r w:rsidR="000E46CE" w:rsidRPr="00A2044C">
        <w:rPr>
          <w:rFonts w:asciiTheme="minorHAnsi" w:hAnsiTheme="minorHAnsi"/>
          <w:sz w:val="23"/>
          <w:szCs w:val="23"/>
        </w:rPr>
        <w:t xml:space="preserve"> </w:t>
      </w:r>
      <w:r w:rsidR="009A6257" w:rsidRPr="00A2044C">
        <w:rPr>
          <w:rFonts w:asciiTheme="minorHAnsi" w:hAnsiTheme="minorHAnsi"/>
          <w:sz w:val="23"/>
          <w:szCs w:val="23"/>
        </w:rPr>
        <w:t xml:space="preserve">Bay </w:t>
      </w:r>
      <w:proofErr w:type="spellStart"/>
      <w:r w:rsidR="009A6257" w:rsidRPr="00A2044C">
        <w:rPr>
          <w:rFonts w:asciiTheme="minorHAnsi" w:hAnsiTheme="minorHAnsi"/>
          <w:sz w:val="23"/>
          <w:szCs w:val="23"/>
        </w:rPr>
        <w:t>Câmpeanu</w:t>
      </w:r>
      <w:proofErr w:type="spellEnd"/>
      <w:r w:rsidR="000E46CE" w:rsidRPr="00A2044C">
        <w:rPr>
          <w:rFonts w:asciiTheme="minorHAnsi" w:hAnsiTheme="minorHAnsi"/>
          <w:sz w:val="23"/>
          <w:szCs w:val="23"/>
        </w:rPr>
        <w:t xml:space="preserve"> adına hareket etme yetkisini ya da onu tıbbi veya hukuki yetkililer önünde temsil etmeye yetkisi olup olmadığının herhangi bir biçimde tartışılmadığı veya sorgulanmadığı gerçeğine özel bir önem atfeder. (Bkz. Yukarıda 23, 27-28, 33, 37-38 ve 40-41. paragraflar); </w:t>
      </w:r>
      <w:r w:rsidR="00AC25FD" w:rsidRPr="00A2044C">
        <w:rPr>
          <w:rFonts w:asciiTheme="minorHAnsi" w:hAnsiTheme="minorHAnsi"/>
          <w:sz w:val="23"/>
          <w:szCs w:val="23"/>
        </w:rPr>
        <w:t xml:space="preserve">bu nedenle </w:t>
      </w:r>
      <w:r w:rsidR="000E46CE" w:rsidRPr="00A2044C">
        <w:rPr>
          <w:rFonts w:asciiTheme="minorHAnsi" w:hAnsiTheme="minorHAnsi"/>
          <w:sz w:val="23"/>
          <w:szCs w:val="23"/>
        </w:rPr>
        <w:t xml:space="preserve">normalde bir vasi veya temsilcinin yetkisi olabilecek bu tür girişimler </w:t>
      </w:r>
      <w:r w:rsidR="00AC25FD" w:rsidRPr="00A2044C">
        <w:rPr>
          <w:rFonts w:asciiTheme="minorHAnsi" w:hAnsiTheme="minorHAnsi"/>
          <w:sz w:val="23"/>
          <w:szCs w:val="23"/>
        </w:rPr>
        <w:t xml:space="preserve">bu tür yollarda yetkili olan ve kendilerine  yapılan başvurulara karşılık veren ilgili makamlarca herhangi bir itiraz olmaksızın CLR tarafından gerçekleştirilmiştir. </w:t>
      </w:r>
    </w:p>
    <w:p w:rsidR="00AC25FD" w:rsidRPr="00A2044C" w:rsidRDefault="00DF24F5"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111.</w:t>
      </w:r>
      <w:r w:rsidRPr="00A2044C">
        <w:rPr>
          <w:rFonts w:asciiTheme="minorHAnsi" w:hAnsiTheme="minorHAnsi"/>
          <w:sz w:val="23"/>
          <w:szCs w:val="23"/>
        </w:rPr>
        <w:t xml:space="preserve"> </w:t>
      </w:r>
      <w:r w:rsidR="00AC25FD" w:rsidRPr="00A2044C">
        <w:rPr>
          <w:rFonts w:asciiTheme="minorHAnsi" w:hAnsiTheme="minorHAnsi"/>
          <w:sz w:val="23"/>
          <w:szCs w:val="23"/>
        </w:rPr>
        <w:t xml:space="preserve">Mahkeme ayrıca, yukarıda değinildiği üzere, Bay </w:t>
      </w:r>
      <w:proofErr w:type="spellStart"/>
      <w:r w:rsidR="00AC25FD" w:rsidRPr="00A2044C">
        <w:rPr>
          <w:rFonts w:asciiTheme="minorHAnsi" w:hAnsiTheme="minorHAnsi"/>
          <w:sz w:val="23"/>
          <w:szCs w:val="23"/>
        </w:rPr>
        <w:t>Câmpeanu’nun</w:t>
      </w:r>
      <w:proofErr w:type="spellEnd"/>
      <w:r w:rsidR="00AC25FD" w:rsidRPr="00A2044C">
        <w:rPr>
          <w:rFonts w:asciiTheme="minorHAnsi" w:hAnsiTheme="minorHAnsi"/>
          <w:sz w:val="23"/>
          <w:szCs w:val="23"/>
        </w:rPr>
        <w:t xml:space="preserve"> ölümü zamanında bilinen bir yakını olmadığını ve yetişkin olduğunda atanması gerekmesine rağmen Devlet tarafından menfaatlerini korumak için hukuki veya başka şekillerde bir yetkili kişi ya da vasi atanmadığını da </w:t>
      </w:r>
      <w:r w:rsidR="00AC25FD" w:rsidRPr="00A2044C">
        <w:rPr>
          <w:rFonts w:asciiTheme="minorHAnsi" w:hAnsiTheme="minorHAnsi"/>
          <w:sz w:val="23"/>
          <w:szCs w:val="23"/>
        </w:rPr>
        <w:lastRenderedPageBreak/>
        <w:t xml:space="preserve">dikkate almıştır. Ulusal düzeyde CLR, ölümünden kısa bir süre önce –değil hukuki yola başvurmak, kendi ihtiyaç ve menfaatlerine ilişkin istek veya görüşlerini ifade edemeyecek hale geldiğinde- temsilci olarak konuya dahil olmuştur. İlgili makamların yasal bir vasi veya başka türde bir temsilci atamadaki başarısızlık nedeniyle </w:t>
      </w:r>
      <w:r w:rsidR="00101049" w:rsidRPr="00A2044C">
        <w:rPr>
          <w:rFonts w:asciiTheme="minorHAnsi" w:hAnsiTheme="minorHAnsi"/>
          <w:sz w:val="23"/>
          <w:szCs w:val="23"/>
        </w:rPr>
        <w:t xml:space="preserve">onu koruyabilecek veya hastane makamları, ulusal mahkeme ve Mahkemede onun adına hareket edilebilecek </w:t>
      </w:r>
      <w:r w:rsidR="00AC25FD" w:rsidRPr="00A2044C">
        <w:rPr>
          <w:rFonts w:asciiTheme="minorHAnsi" w:hAnsiTheme="minorHAnsi"/>
          <w:sz w:val="23"/>
          <w:szCs w:val="23"/>
        </w:rPr>
        <w:t>herhangi bir temsil biçimi ol</w:t>
      </w:r>
      <w:r w:rsidR="00101049" w:rsidRPr="00A2044C">
        <w:rPr>
          <w:rFonts w:asciiTheme="minorHAnsi" w:hAnsiTheme="minorHAnsi"/>
          <w:sz w:val="23"/>
          <w:szCs w:val="23"/>
        </w:rPr>
        <w:t>a</w:t>
      </w:r>
      <w:r w:rsidR="00AC25FD" w:rsidRPr="00A2044C">
        <w:rPr>
          <w:rFonts w:asciiTheme="minorHAnsi" w:hAnsiTheme="minorHAnsi"/>
          <w:sz w:val="23"/>
          <w:szCs w:val="23"/>
        </w:rPr>
        <w:t xml:space="preserve">mamıştır. </w:t>
      </w:r>
      <w:r w:rsidR="00101049" w:rsidRPr="00A2044C">
        <w:rPr>
          <w:rFonts w:asciiTheme="minorHAnsi" w:hAnsiTheme="minorHAnsi"/>
          <w:sz w:val="23"/>
          <w:szCs w:val="23"/>
        </w:rPr>
        <w:t>(</w:t>
      </w:r>
      <w:proofErr w:type="spellStart"/>
      <w:r w:rsidR="00101049" w:rsidRPr="00A2044C">
        <w:rPr>
          <w:rFonts w:asciiTheme="minorHAnsi" w:hAnsiTheme="minorHAnsi"/>
          <w:sz w:val="23"/>
          <w:szCs w:val="23"/>
        </w:rPr>
        <w:t>see</w:t>
      </w:r>
      <w:proofErr w:type="spellEnd"/>
      <w:r w:rsidR="00101049" w:rsidRPr="00A2044C">
        <w:rPr>
          <w:rFonts w:asciiTheme="minorHAnsi" w:hAnsiTheme="minorHAnsi"/>
          <w:sz w:val="23"/>
          <w:szCs w:val="23"/>
        </w:rPr>
        <w:t xml:space="preserve">, </w:t>
      </w:r>
      <w:proofErr w:type="spellStart"/>
      <w:r w:rsidR="00101049" w:rsidRPr="00A2044C">
        <w:rPr>
          <w:rFonts w:asciiTheme="minorHAnsi" w:hAnsiTheme="minorHAnsi"/>
          <w:i/>
          <w:iCs/>
          <w:sz w:val="23"/>
          <w:szCs w:val="23"/>
        </w:rPr>
        <w:t>mutatis</w:t>
      </w:r>
      <w:proofErr w:type="spellEnd"/>
      <w:r w:rsidR="00101049" w:rsidRPr="00A2044C">
        <w:rPr>
          <w:rFonts w:asciiTheme="minorHAnsi" w:hAnsiTheme="minorHAnsi"/>
          <w:i/>
          <w:iCs/>
          <w:sz w:val="23"/>
          <w:szCs w:val="23"/>
        </w:rPr>
        <w:t xml:space="preserve"> </w:t>
      </w:r>
      <w:proofErr w:type="spellStart"/>
      <w:r w:rsidR="00101049" w:rsidRPr="00A2044C">
        <w:rPr>
          <w:rFonts w:asciiTheme="minorHAnsi" w:hAnsiTheme="minorHAnsi"/>
          <w:i/>
          <w:iCs/>
          <w:sz w:val="23"/>
          <w:szCs w:val="23"/>
        </w:rPr>
        <w:t>mutandis</w:t>
      </w:r>
      <w:proofErr w:type="spellEnd"/>
      <w:r w:rsidR="00101049" w:rsidRPr="00A2044C">
        <w:rPr>
          <w:rFonts w:asciiTheme="minorHAnsi" w:hAnsiTheme="minorHAnsi"/>
          <w:sz w:val="23"/>
          <w:szCs w:val="23"/>
        </w:rPr>
        <w:t xml:space="preserve">, </w:t>
      </w:r>
      <w:r w:rsidR="00101049" w:rsidRPr="00A2044C">
        <w:rPr>
          <w:rFonts w:asciiTheme="minorHAnsi" w:hAnsiTheme="minorHAnsi"/>
          <w:i/>
          <w:iCs/>
          <w:sz w:val="23"/>
          <w:szCs w:val="23"/>
        </w:rPr>
        <w:t xml:space="preserve">P., C. </w:t>
      </w:r>
      <w:proofErr w:type="spellStart"/>
      <w:r w:rsidR="00101049" w:rsidRPr="00A2044C">
        <w:rPr>
          <w:rFonts w:asciiTheme="minorHAnsi" w:hAnsiTheme="minorHAnsi"/>
          <w:i/>
          <w:iCs/>
          <w:sz w:val="23"/>
          <w:szCs w:val="23"/>
        </w:rPr>
        <w:t>and</w:t>
      </w:r>
      <w:proofErr w:type="spellEnd"/>
      <w:r w:rsidR="00101049" w:rsidRPr="00A2044C">
        <w:rPr>
          <w:rFonts w:asciiTheme="minorHAnsi" w:hAnsiTheme="minorHAnsi"/>
          <w:i/>
          <w:iCs/>
          <w:sz w:val="23"/>
          <w:szCs w:val="23"/>
        </w:rPr>
        <w:t xml:space="preserve"> S. v. </w:t>
      </w:r>
      <w:proofErr w:type="spellStart"/>
      <w:r w:rsidR="00101049" w:rsidRPr="00A2044C">
        <w:rPr>
          <w:rFonts w:asciiTheme="minorHAnsi" w:hAnsiTheme="minorHAnsi"/>
          <w:i/>
          <w:iCs/>
          <w:sz w:val="23"/>
          <w:szCs w:val="23"/>
        </w:rPr>
        <w:t>the</w:t>
      </w:r>
      <w:proofErr w:type="spellEnd"/>
      <w:r w:rsidR="00101049" w:rsidRPr="00A2044C">
        <w:rPr>
          <w:rFonts w:asciiTheme="minorHAnsi" w:hAnsiTheme="minorHAnsi"/>
          <w:i/>
          <w:iCs/>
          <w:sz w:val="23"/>
          <w:szCs w:val="23"/>
        </w:rPr>
        <w:t xml:space="preserve"> United </w:t>
      </w:r>
      <w:proofErr w:type="spellStart"/>
      <w:r w:rsidR="00101049" w:rsidRPr="00A2044C">
        <w:rPr>
          <w:rFonts w:asciiTheme="minorHAnsi" w:hAnsiTheme="minorHAnsi"/>
          <w:i/>
          <w:iCs/>
          <w:sz w:val="23"/>
          <w:szCs w:val="23"/>
        </w:rPr>
        <w:t>Kingdom</w:t>
      </w:r>
      <w:proofErr w:type="spellEnd"/>
      <w:r w:rsidR="00101049" w:rsidRPr="00A2044C">
        <w:rPr>
          <w:rFonts w:asciiTheme="minorHAnsi" w:hAnsiTheme="minorHAnsi"/>
          <w:i/>
          <w:iCs/>
          <w:sz w:val="23"/>
          <w:szCs w:val="23"/>
        </w:rPr>
        <w:t xml:space="preserve"> </w:t>
      </w:r>
      <w:r w:rsidR="00101049" w:rsidRPr="00A2044C">
        <w:rPr>
          <w:rFonts w:asciiTheme="minorHAnsi" w:hAnsiTheme="minorHAnsi"/>
          <w:sz w:val="23"/>
          <w:szCs w:val="23"/>
        </w:rPr>
        <w:t>(</w:t>
      </w:r>
      <w:proofErr w:type="spellStart"/>
      <w:r w:rsidR="00101049" w:rsidRPr="00A2044C">
        <w:rPr>
          <w:rFonts w:asciiTheme="minorHAnsi" w:hAnsiTheme="minorHAnsi"/>
          <w:sz w:val="23"/>
          <w:szCs w:val="23"/>
        </w:rPr>
        <w:t>dec</w:t>
      </w:r>
      <w:proofErr w:type="spellEnd"/>
      <w:r w:rsidR="00101049" w:rsidRPr="00A2044C">
        <w:rPr>
          <w:rFonts w:asciiTheme="minorHAnsi" w:hAnsiTheme="minorHAnsi"/>
          <w:sz w:val="23"/>
          <w:szCs w:val="23"/>
        </w:rPr>
        <w:t xml:space="preserve">.), no. 56547/00, 11 </w:t>
      </w:r>
      <w:proofErr w:type="spellStart"/>
      <w:r w:rsidR="00101049" w:rsidRPr="00A2044C">
        <w:rPr>
          <w:rFonts w:asciiTheme="minorHAnsi" w:hAnsiTheme="minorHAnsi"/>
          <w:sz w:val="23"/>
          <w:szCs w:val="23"/>
        </w:rPr>
        <w:t>December</w:t>
      </w:r>
      <w:proofErr w:type="spellEnd"/>
      <w:r w:rsidR="00101049" w:rsidRPr="00A2044C">
        <w:rPr>
          <w:rFonts w:asciiTheme="minorHAnsi" w:hAnsiTheme="minorHAnsi"/>
          <w:sz w:val="23"/>
          <w:szCs w:val="23"/>
        </w:rPr>
        <w:t xml:space="preserve"> 2001, </w:t>
      </w:r>
      <w:proofErr w:type="spellStart"/>
      <w:r w:rsidR="00101049" w:rsidRPr="00A2044C">
        <w:rPr>
          <w:rFonts w:asciiTheme="minorHAnsi" w:hAnsiTheme="minorHAnsi"/>
          <w:sz w:val="23"/>
          <w:szCs w:val="23"/>
        </w:rPr>
        <w:t>and</w:t>
      </w:r>
      <w:proofErr w:type="spellEnd"/>
      <w:r w:rsidR="00101049" w:rsidRPr="00A2044C">
        <w:rPr>
          <w:rFonts w:asciiTheme="minorHAnsi" w:hAnsiTheme="minorHAnsi"/>
          <w:sz w:val="23"/>
          <w:szCs w:val="23"/>
        </w:rPr>
        <w:t xml:space="preserve"> </w:t>
      </w:r>
      <w:r w:rsidR="00101049" w:rsidRPr="00A2044C">
        <w:rPr>
          <w:rFonts w:asciiTheme="minorHAnsi" w:hAnsiTheme="minorHAnsi"/>
          <w:i/>
          <w:iCs/>
          <w:sz w:val="23"/>
          <w:szCs w:val="23"/>
        </w:rPr>
        <w:t xml:space="preserve">B. v. </w:t>
      </w:r>
      <w:proofErr w:type="spellStart"/>
      <w:r w:rsidR="00101049" w:rsidRPr="00A2044C">
        <w:rPr>
          <w:rFonts w:asciiTheme="minorHAnsi" w:hAnsiTheme="minorHAnsi"/>
          <w:i/>
          <w:iCs/>
          <w:sz w:val="23"/>
          <w:szCs w:val="23"/>
        </w:rPr>
        <w:t>Romania</w:t>
      </w:r>
      <w:proofErr w:type="spellEnd"/>
      <w:r w:rsidR="00101049" w:rsidRPr="00A2044C">
        <w:rPr>
          <w:rFonts w:asciiTheme="minorHAnsi" w:hAnsiTheme="minorHAnsi"/>
          <w:i/>
          <w:iCs/>
          <w:sz w:val="23"/>
          <w:szCs w:val="23"/>
        </w:rPr>
        <w:t xml:space="preserve"> (no. 2)</w:t>
      </w:r>
      <w:r w:rsidR="00101049" w:rsidRPr="00A2044C">
        <w:rPr>
          <w:rFonts w:asciiTheme="minorHAnsi" w:hAnsiTheme="minorHAnsi"/>
          <w:sz w:val="23"/>
          <w:szCs w:val="23"/>
        </w:rPr>
        <w:t xml:space="preserve">, </w:t>
      </w:r>
      <w:proofErr w:type="spellStart"/>
      <w:r w:rsidR="00101049" w:rsidRPr="00A2044C">
        <w:rPr>
          <w:rFonts w:asciiTheme="minorHAnsi" w:hAnsiTheme="minorHAnsi"/>
          <w:sz w:val="23"/>
          <w:szCs w:val="23"/>
        </w:rPr>
        <w:t>cited</w:t>
      </w:r>
      <w:proofErr w:type="spellEnd"/>
      <w:r w:rsidR="00101049" w:rsidRPr="00A2044C">
        <w:rPr>
          <w:rFonts w:asciiTheme="minorHAnsi" w:hAnsiTheme="minorHAnsi"/>
          <w:sz w:val="23"/>
          <w:szCs w:val="23"/>
        </w:rPr>
        <w:t xml:space="preserve"> </w:t>
      </w:r>
      <w:proofErr w:type="spellStart"/>
      <w:r w:rsidR="00101049" w:rsidRPr="00A2044C">
        <w:rPr>
          <w:rFonts w:asciiTheme="minorHAnsi" w:hAnsiTheme="minorHAnsi"/>
          <w:sz w:val="23"/>
          <w:szCs w:val="23"/>
        </w:rPr>
        <w:t>above</w:t>
      </w:r>
      <w:proofErr w:type="spellEnd"/>
      <w:r w:rsidR="00101049" w:rsidRPr="00A2044C">
        <w:rPr>
          <w:rFonts w:asciiTheme="minorHAnsi" w:hAnsiTheme="minorHAnsi"/>
          <w:sz w:val="23"/>
          <w:szCs w:val="23"/>
        </w:rPr>
        <w:t xml:space="preserve">, §§ 96-97). Ayrıca, ölümü nedeniyle doğrudan mağdur başvuramasa da Sözleşme bakımından temel şikayetin 2. Maddenin (“yaşam hakkı”) ihlali olması da önemlidir. </w:t>
      </w:r>
    </w:p>
    <w:p w:rsidR="00101049" w:rsidRPr="00A2044C" w:rsidRDefault="009A6257"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112.</w:t>
      </w:r>
      <w:r w:rsidRPr="00A2044C">
        <w:rPr>
          <w:rFonts w:asciiTheme="minorHAnsi" w:hAnsiTheme="minorHAnsi"/>
          <w:sz w:val="23"/>
          <w:szCs w:val="23"/>
        </w:rPr>
        <w:t xml:space="preserve"> </w:t>
      </w:r>
      <w:r w:rsidR="00101049" w:rsidRPr="00A2044C">
        <w:rPr>
          <w:rFonts w:asciiTheme="minorHAnsi" w:hAnsiTheme="minorHAnsi"/>
          <w:sz w:val="23"/>
          <w:szCs w:val="23"/>
        </w:rPr>
        <w:t>Yukarıdaki arka</w:t>
      </w:r>
      <w:r w:rsidR="00C2086C">
        <w:rPr>
          <w:rFonts w:asciiTheme="minorHAnsi" w:hAnsiTheme="minorHAnsi"/>
          <w:sz w:val="23"/>
          <w:szCs w:val="23"/>
        </w:rPr>
        <w:t xml:space="preserve"> </w:t>
      </w:r>
      <w:r w:rsidR="00101049" w:rsidRPr="00A2044C">
        <w:rPr>
          <w:rFonts w:asciiTheme="minorHAnsi" w:hAnsiTheme="minorHAnsi"/>
          <w:sz w:val="23"/>
          <w:szCs w:val="23"/>
        </w:rPr>
        <w:t xml:space="preserve">plana karşılık Mahkeme, </w:t>
      </w:r>
      <w:r w:rsidR="005E0A9A" w:rsidRPr="00A2044C">
        <w:rPr>
          <w:rFonts w:asciiTheme="minorHAnsi" w:hAnsiTheme="minorHAnsi"/>
          <w:sz w:val="23"/>
          <w:szCs w:val="23"/>
        </w:rPr>
        <w:t xml:space="preserve">temsilci olarak onun yerine hareket etme yetkisi olmaması ve Sözleşme doğrultusunda yapılan başvurudan önce ölmesine karşılık </w:t>
      </w:r>
      <w:r w:rsidR="00101049" w:rsidRPr="00A2044C">
        <w:rPr>
          <w:rFonts w:asciiTheme="minorHAnsi" w:hAnsiTheme="minorHAnsi"/>
          <w:sz w:val="23"/>
          <w:szCs w:val="23"/>
        </w:rPr>
        <w:t xml:space="preserve">bu davanın istisnai koşullarında ve ihlalin ciddi niteliğini dikkate alarak </w:t>
      </w:r>
      <w:proofErr w:type="spellStart"/>
      <w:r w:rsidR="00101049" w:rsidRPr="00A2044C">
        <w:rPr>
          <w:rFonts w:asciiTheme="minorHAnsi" w:hAnsiTheme="minorHAnsi"/>
          <w:sz w:val="23"/>
          <w:szCs w:val="23"/>
        </w:rPr>
        <w:t>CLR’nin</w:t>
      </w:r>
      <w:proofErr w:type="spellEnd"/>
      <w:r w:rsidR="00101049" w:rsidRPr="00A2044C">
        <w:rPr>
          <w:rFonts w:asciiTheme="minorHAnsi" w:hAnsiTheme="minorHAnsi"/>
          <w:sz w:val="23"/>
          <w:szCs w:val="23"/>
        </w:rPr>
        <w:t xml:space="preserve"> bay </w:t>
      </w:r>
      <w:proofErr w:type="spellStart"/>
      <w:r w:rsidR="00101049" w:rsidRPr="00A2044C">
        <w:rPr>
          <w:rFonts w:asciiTheme="minorHAnsi" w:hAnsiTheme="minorHAnsi"/>
          <w:sz w:val="23"/>
          <w:szCs w:val="23"/>
        </w:rPr>
        <w:t>Câmpeanu’nun</w:t>
      </w:r>
      <w:proofErr w:type="spellEnd"/>
      <w:r w:rsidR="00101049" w:rsidRPr="00A2044C">
        <w:rPr>
          <w:rFonts w:asciiTheme="minorHAnsi" w:hAnsiTheme="minorHAnsi"/>
          <w:sz w:val="23"/>
          <w:szCs w:val="23"/>
        </w:rPr>
        <w:t xml:space="preserve"> temsilcisi olarak hareket etme yolunun açık olması gerektiği konusunda ikna olmuştur.  </w:t>
      </w:r>
      <w:r w:rsidR="0044360F" w:rsidRPr="00A2044C">
        <w:rPr>
          <w:rFonts w:asciiTheme="minorHAnsi" w:hAnsiTheme="minorHAnsi"/>
          <w:sz w:val="23"/>
          <w:szCs w:val="23"/>
        </w:rPr>
        <w:t xml:space="preserve">Başka bir sonuca varmak Sözleşmenin bu türden ciddi ihlallerinin uluslararası düzeyde incelenmesini engellemek sonucunu doğuracaktır ve aynı zamanda davalı Devletin ulusal hukukuna göre gerekmesine rağmen yerine hareket edecek bir temsilci atamamasının sonucunda Sözleşmeye göre hesap verilebilirlikten kaçması riskini de beraberinde getirir (bkz. yukarıda 59 ve 60.paragraflar; Ayrıca bakınız, </w:t>
      </w:r>
      <w:proofErr w:type="spellStart"/>
      <w:r w:rsidR="0044360F" w:rsidRPr="00A2044C">
        <w:rPr>
          <w:rFonts w:asciiTheme="minorHAnsi" w:hAnsiTheme="minorHAnsi"/>
          <w:i/>
          <w:iCs/>
          <w:sz w:val="23"/>
          <w:szCs w:val="23"/>
        </w:rPr>
        <w:t>mutatis</w:t>
      </w:r>
      <w:proofErr w:type="spellEnd"/>
      <w:r w:rsidR="0044360F" w:rsidRPr="00A2044C">
        <w:rPr>
          <w:rFonts w:asciiTheme="minorHAnsi" w:hAnsiTheme="minorHAnsi"/>
          <w:i/>
          <w:iCs/>
          <w:sz w:val="23"/>
          <w:szCs w:val="23"/>
        </w:rPr>
        <w:t xml:space="preserve"> </w:t>
      </w:r>
      <w:proofErr w:type="spellStart"/>
      <w:r w:rsidR="0044360F" w:rsidRPr="00A2044C">
        <w:rPr>
          <w:rFonts w:asciiTheme="minorHAnsi" w:hAnsiTheme="minorHAnsi"/>
          <w:i/>
          <w:iCs/>
          <w:sz w:val="23"/>
          <w:szCs w:val="23"/>
        </w:rPr>
        <w:t>mutandis</w:t>
      </w:r>
      <w:proofErr w:type="spellEnd"/>
      <w:r w:rsidR="0044360F" w:rsidRPr="00A2044C">
        <w:rPr>
          <w:rFonts w:asciiTheme="minorHAnsi" w:hAnsiTheme="minorHAnsi"/>
          <w:sz w:val="23"/>
          <w:szCs w:val="23"/>
        </w:rPr>
        <w:t xml:space="preserve">, </w:t>
      </w:r>
      <w:r w:rsidR="0044360F" w:rsidRPr="00A2044C">
        <w:rPr>
          <w:rFonts w:asciiTheme="minorHAnsi" w:hAnsiTheme="minorHAnsi"/>
          <w:i/>
          <w:iCs/>
          <w:sz w:val="23"/>
          <w:szCs w:val="23"/>
        </w:rPr>
        <w:t xml:space="preserve">P., C. </w:t>
      </w:r>
      <w:proofErr w:type="spellStart"/>
      <w:r w:rsidR="0044360F" w:rsidRPr="00A2044C">
        <w:rPr>
          <w:rFonts w:asciiTheme="minorHAnsi" w:hAnsiTheme="minorHAnsi"/>
          <w:i/>
          <w:iCs/>
          <w:sz w:val="23"/>
          <w:szCs w:val="23"/>
        </w:rPr>
        <w:t>and</w:t>
      </w:r>
      <w:proofErr w:type="spellEnd"/>
      <w:r w:rsidR="0044360F" w:rsidRPr="00A2044C">
        <w:rPr>
          <w:rFonts w:asciiTheme="minorHAnsi" w:hAnsiTheme="minorHAnsi"/>
          <w:i/>
          <w:iCs/>
          <w:sz w:val="23"/>
          <w:szCs w:val="23"/>
        </w:rPr>
        <w:t xml:space="preserve"> S. v. </w:t>
      </w:r>
      <w:proofErr w:type="spellStart"/>
      <w:r w:rsidR="0044360F" w:rsidRPr="00A2044C">
        <w:rPr>
          <w:rFonts w:asciiTheme="minorHAnsi" w:hAnsiTheme="minorHAnsi"/>
          <w:i/>
          <w:iCs/>
          <w:sz w:val="23"/>
          <w:szCs w:val="23"/>
        </w:rPr>
        <w:t>the</w:t>
      </w:r>
      <w:proofErr w:type="spellEnd"/>
      <w:r w:rsidR="0044360F" w:rsidRPr="00A2044C">
        <w:rPr>
          <w:rFonts w:asciiTheme="minorHAnsi" w:hAnsiTheme="minorHAnsi"/>
          <w:i/>
          <w:iCs/>
          <w:sz w:val="23"/>
          <w:szCs w:val="23"/>
        </w:rPr>
        <w:t xml:space="preserve"> United </w:t>
      </w:r>
      <w:proofErr w:type="spellStart"/>
      <w:r w:rsidR="0044360F" w:rsidRPr="00A2044C">
        <w:rPr>
          <w:rFonts w:asciiTheme="minorHAnsi" w:hAnsiTheme="minorHAnsi"/>
          <w:i/>
          <w:iCs/>
          <w:sz w:val="23"/>
          <w:szCs w:val="23"/>
        </w:rPr>
        <w:t>Kingdom</w:t>
      </w:r>
      <w:proofErr w:type="spellEnd"/>
      <w:r w:rsidR="0044360F" w:rsidRPr="00A2044C">
        <w:rPr>
          <w:rFonts w:asciiTheme="minorHAnsi" w:hAnsiTheme="minorHAnsi"/>
          <w:sz w:val="23"/>
          <w:szCs w:val="23"/>
        </w:rPr>
        <w:t xml:space="preserve"> ve </w:t>
      </w:r>
      <w:proofErr w:type="spellStart"/>
      <w:r w:rsidR="0044360F" w:rsidRPr="00A2044C">
        <w:rPr>
          <w:rFonts w:asciiTheme="minorHAnsi" w:hAnsiTheme="minorHAnsi"/>
          <w:i/>
          <w:iCs/>
          <w:sz w:val="23"/>
          <w:szCs w:val="23"/>
        </w:rPr>
        <w:t>The</w:t>
      </w:r>
      <w:proofErr w:type="spellEnd"/>
      <w:r w:rsidR="0044360F" w:rsidRPr="00A2044C">
        <w:rPr>
          <w:rFonts w:asciiTheme="minorHAnsi" w:hAnsiTheme="minorHAnsi"/>
          <w:i/>
          <w:iCs/>
          <w:sz w:val="23"/>
          <w:szCs w:val="23"/>
        </w:rPr>
        <w:t xml:space="preserve"> </w:t>
      </w:r>
      <w:proofErr w:type="spellStart"/>
      <w:r w:rsidR="0044360F" w:rsidRPr="00A2044C">
        <w:rPr>
          <w:rFonts w:asciiTheme="minorHAnsi" w:hAnsiTheme="minorHAnsi"/>
          <w:i/>
          <w:iCs/>
          <w:sz w:val="23"/>
          <w:szCs w:val="23"/>
        </w:rPr>
        <w:t>Argeş</w:t>
      </w:r>
      <w:proofErr w:type="spellEnd"/>
      <w:r w:rsidR="0044360F" w:rsidRPr="00A2044C">
        <w:rPr>
          <w:rFonts w:asciiTheme="minorHAnsi" w:hAnsiTheme="minorHAnsi"/>
          <w:i/>
          <w:iCs/>
          <w:sz w:val="23"/>
          <w:szCs w:val="23"/>
        </w:rPr>
        <w:t xml:space="preserve"> </w:t>
      </w:r>
      <w:proofErr w:type="spellStart"/>
      <w:r w:rsidR="0044360F" w:rsidRPr="00A2044C">
        <w:rPr>
          <w:rFonts w:asciiTheme="minorHAnsi" w:hAnsiTheme="minorHAnsi"/>
          <w:i/>
          <w:iCs/>
          <w:sz w:val="23"/>
          <w:szCs w:val="23"/>
        </w:rPr>
        <w:t>College</w:t>
      </w:r>
      <w:proofErr w:type="spellEnd"/>
      <w:r w:rsidR="0044360F" w:rsidRPr="00A2044C">
        <w:rPr>
          <w:rFonts w:asciiTheme="minorHAnsi" w:hAnsiTheme="minorHAnsi"/>
          <w:i/>
          <w:iCs/>
          <w:sz w:val="23"/>
          <w:szCs w:val="23"/>
        </w:rPr>
        <w:t xml:space="preserve"> of Legal </w:t>
      </w:r>
      <w:proofErr w:type="spellStart"/>
      <w:r w:rsidR="0044360F" w:rsidRPr="00A2044C">
        <w:rPr>
          <w:rFonts w:asciiTheme="minorHAnsi" w:hAnsiTheme="minorHAnsi"/>
          <w:i/>
          <w:iCs/>
          <w:sz w:val="23"/>
          <w:szCs w:val="23"/>
        </w:rPr>
        <w:t>Advisers</w:t>
      </w:r>
      <w:proofErr w:type="spellEnd"/>
      <w:r w:rsidR="0044360F" w:rsidRPr="00A2044C">
        <w:rPr>
          <w:rFonts w:asciiTheme="minorHAnsi" w:hAnsiTheme="minorHAnsi"/>
          <w:i/>
          <w:iCs/>
          <w:sz w:val="23"/>
          <w:szCs w:val="23"/>
        </w:rPr>
        <w:t xml:space="preserve"> v. </w:t>
      </w:r>
      <w:proofErr w:type="spellStart"/>
      <w:r w:rsidR="0044360F" w:rsidRPr="00A2044C">
        <w:rPr>
          <w:rFonts w:asciiTheme="minorHAnsi" w:hAnsiTheme="minorHAnsi"/>
          <w:i/>
          <w:iCs/>
          <w:sz w:val="23"/>
          <w:szCs w:val="23"/>
        </w:rPr>
        <w:t>Romania</w:t>
      </w:r>
      <w:proofErr w:type="spellEnd"/>
      <w:r w:rsidR="0044360F" w:rsidRPr="00A2044C">
        <w:rPr>
          <w:rFonts w:asciiTheme="minorHAnsi" w:hAnsiTheme="minorHAnsi"/>
          <w:sz w:val="23"/>
          <w:szCs w:val="23"/>
        </w:rPr>
        <w:t xml:space="preserve">, no. 2162/05, § 26, 8 </w:t>
      </w:r>
      <w:proofErr w:type="spellStart"/>
      <w:r w:rsidR="0044360F" w:rsidRPr="00A2044C">
        <w:rPr>
          <w:rFonts w:asciiTheme="minorHAnsi" w:hAnsiTheme="minorHAnsi"/>
          <w:sz w:val="23"/>
          <w:szCs w:val="23"/>
        </w:rPr>
        <w:t>March</w:t>
      </w:r>
      <w:proofErr w:type="spellEnd"/>
      <w:r w:rsidR="0044360F" w:rsidRPr="00A2044C">
        <w:rPr>
          <w:rFonts w:asciiTheme="minorHAnsi" w:hAnsiTheme="minorHAnsi"/>
          <w:sz w:val="23"/>
          <w:szCs w:val="23"/>
        </w:rPr>
        <w:t xml:space="preserve"> 2011). Davalı Devletin bu şekilde hesap verilebilirlikten kaçmasına izin vermek Sözleşmenin genel ruhuna uygun olmayacağı gibi Yüksek Sözleşmeci Tarafların Sözleşmenin 34. maddesinde yer alan Mahkeme önüne başvuru getirilebilmesi hakkının etkili biçimde uygulanmasını engellememe yükümlülüklerine de aykırı olacaktır. </w:t>
      </w:r>
    </w:p>
    <w:p w:rsidR="00A83D5D" w:rsidRPr="00A2044C" w:rsidRDefault="009A6257"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113.</w:t>
      </w:r>
      <w:r w:rsidRPr="00A2044C">
        <w:rPr>
          <w:rFonts w:asciiTheme="minorHAnsi" w:hAnsiTheme="minorHAnsi"/>
          <w:sz w:val="23"/>
          <w:szCs w:val="23"/>
        </w:rPr>
        <w:t xml:space="preserve"> </w:t>
      </w:r>
      <w:proofErr w:type="spellStart"/>
      <w:r w:rsidR="0044360F" w:rsidRPr="00A2044C">
        <w:rPr>
          <w:rFonts w:asciiTheme="minorHAnsi" w:hAnsiTheme="minorHAnsi"/>
          <w:sz w:val="23"/>
          <w:szCs w:val="23"/>
        </w:rPr>
        <w:t>CLR’ye</w:t>
      </w:r>
      <w:proofErr w:type="spellEnd"/>
      <w:r w:rsidR="0044360F" w:rsidRPr="00A2044C">
        <w:rPr>
          <w:rFonts w:asciiTheme="minorHAnsi" w:hAnsiTheme="minorHAnsi"/>
          <w:sz w:val="23"/>
          <w:szCs w:val="23"/>
        </w:rPr>
        <w:t xml:space="preserve"> Bay </w:t>
      </w:r>
      <w:proofErr w:type="spellStart"/>
      <w:r w:rsidR="0044360F" w:rsidRPr="00A2044C">
        <w:rPr>
          <w:rFonts w:asciiTheme="minorHAnsi" w:hAnsiTheme="minorHAnsi"/>
          <w:sz w:val="23"/>
          <w:szCs w:val="23"/>
        </w:rPr>
        <w:t>Câmpeanu’nun</w:t>
      </w:r>
      <w:proofErr w:type="spellEnd"/>
      <w:r w:rsidR="0044360F" w:rsidRPr="00A2044C">
        <w:rPr>
          <w:rFonts w:asciiTheme="minorHAnsi" w:hAnsiTheme="minorHAnsi"/>
          <w:sz w:val="23"/>
          <w:szCs w:val="23"/>
        </w:rPr>
        <w:t xml:space="preserve"> temsilcisi olarak hareket etme yetkisi tanımak Sözleşmenin 5 § 4 maddesinde yer alan “akıl hastası kişiler” bakımından (</w:t>
      </w:r>
      <w:proofErr w:type="spellStart"/>
      <w:r w:rsidR="0044360F" w:rsidRPr="00A2044C">
        <w:rPr>
          <w:rFonts w:asciiTheme="minorHAnsi" w:hAnsiTheme="minorHAnsi"/>
          <w:sz w:val="23"/>
          <w:szCs w:val="23"/>
        </w:rPr>
        <w:t>Article</w:t>
      </w:r>
      <w:proofErr w:type="spellEnd"/>
      <w:r w:rsidR="0044360F" w:rsidRPr="00A2044C">
        <w:rPr>
          <w:rFonts w:asciiTheme="minorHAnsi" w:hAnsiTheme="minorHAnsi"/>
          <w:sz w:val="23"/>
          <w:szCs w:val="23"/>
        </w:rPr>
        <w:t xml:space="preserve"> 5 § 1(e)) etkili başvuru hakkıyla da uyumlu bir yaklaşım olacaktır. Bu bağlamda, </w:t>
      </w:r>
      <w:r w:rsidR="00A83D5D" w:rsidRPr="00A2044C">
        <w:rPr>
          <w:rFonts w:asciiTheme="minorHAnsi" w:hAnsiTheme="minorHAnsi"/>
          <w:sz w:val="23"/>
          <w:szCs w:val="23"/>
        </w:rPr>
        <w:t>ilgili kişinin mahkemeye erişimi olmasının ve kişisel olarak veya gerekliyse bir şekilde temsilci aracılığıyla dinlenme olanağının çok önemli olduğu ve bu sağlanamadığında bu kişilerin “özgürlükten mahrum olma hallerinde uygulanan temel koruma yollarının” bile olmadığı vurgulanmalıdır.</w:t>
      </w:r>
      <w:r w:rsidRPr="00A2044C">
        <w:rPr>
          <w:rFonts w:asciiTheme="minorHAnsi" w:hAnsiTheme="minorHAnsi"/>
          <w:sz w:val="23"/>
          <w:szCs w:val="23"/>
        </w:rPr>
        <w:t xml:space="preserve"> (</w:t>
      </w:r>
      <w:r w:rsidR="00A83D5D" w:rsidRPr="00A2044C">
        <w:rPr>
          <w:rFonts w:asciiTheme="minorHAnsi" w:hAnsiTheme="minorHAnsi"/>
          <w:sz w:val="23"/>
          <w:szCs w:val="23"/>
        </w:rPr>
        <w:t xml:space="preserve">Bkz. </w:t>
      </w:r>
      <w:r w:rsidRPr="00A2044C">
        <w:rPr>
          <w:rFonts w:asciiTheme="minorHAnsi" w:hAnsiTheme="minorHAnsi"/>
          <w:i/>
          <w:iCs/>
          <w:sz w:val="23"/>
          <w:szCs w:val="23"/>
        </w:rPr>
        <w:t xml:space="preserve">De </w:t>
      </w:r>
      <w:proofErr w:type="spellStart"/>
      <w:r w:rsidRPr="00A2044C">
        <w:rPr>
          <w:rFonts w:asciiTheme="minorHAnsi" w:hAnsiTheme="minorHAnsi"/>
          <w:i/>
          <w:iCs/>
          <w:sz w:val="23"/>
          <w:szCs w:val="23"/>
        </w:rPr>
        <w:t>Wilde</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Ooms</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and</w:t>
      </w:r>
      <w:proofErr w:type="spellEnd"/>
      <w:r w:rsidRPr="00A2044C">
        <w:rPr>
          <w:rFonts w:asciiTheme="minorHAnsi" w:hAnsiTheme="minorHAnsi"/>
          <w:i/>
          <w:iCs/>
          <w:sz w:val="23"/>
          <w:szCs w:val="23"/>
        </w:rPr>
        <w:t xml:space="preserve"> </w:t>
      </w:r>
      <w:proofErr w:type="spellStart"/>
      <w:r w:rsidRPr="00A2044C">
        <w:rPr>
          <w:rFonts w:asciiTheme="minorHAnsi" w:hAnsiTheme="minorHAnsi"/>
          <w:i/>
          <w:iCs/>
          <w:sz w:val="23"/>
          <w:szCs w:val="23"/>
        </w:rPr>
        <w:t>Versyp</w:t>
      </w:r>
      <w:proofErr w:type="spellEnd"/>
      <w:r w:rsidRPr="00A2044C">
        <w:rPr>
          <w:rFonts w:asciiTheme="minorHAnsi" w:hAnsiTheme="minorHAnsi"/>
          <w:i/>
          <w:iCs/>
          <w:sz w:val="23"/>
          <w:szCs w:val="23"/>
        </w:rPr>
        <w:t xml:space="preserve"> v. </w:t>
      </w:r>
      <w:proofErr w:type="spellStart"/>
      <w:r w:rsidRPr="00A2044C">
        <w:rPr>
          <w:rFonts w:asciiTheme="minorHAnsi" w:hAnsiTheme="minorHAnsi"/>
          <w:i/>
          <w:iCs/>
          <w:sz w:val="23"/>
          <w:szCs w:val="23"/>
        </w:rPr>
        <w:t>Belgium</w:t>
      </w:r>
      <w:proofErr w:type="spellEnd"/>
      <w:r w:rsidRPr="00A2044C">
        <w:rPr>
          <w:rFonts w:asciiTheme="minorHAnsi" w:hAnsiTheme="minorHAnsi"/>
          <w:sz w:val="23"/>
          <w:szCs w:val="23"/>
        </w:rPr>
        <w:t xml:space="preserve">, 18 </w:t>
      </w:r>
      <w:proofErr w:type="spellStart"/>
      <w:r w:rsidRPr="00A2044C">
        <w:rPr>
          <w:rFonts w:asciiTheme="minorHAnsi" w:hAnsiTheme="minorHAnsi"/>
          <w:sz w:val="23"/>
          <w:szCs w:val="23"/>
        </w:rPr>
        <w:t>June</w:t>
      </w:r>
      <w:proofErr w:type="spellEnd"/>
      <w:r w:rsidRPr="00A2044C">
        <w:rPr>
          <w:rFonts w:asciiTheme="minorHAnsi" w:hAnsiTheme="minorHAnsi"/>
          <w:sz w:val="23"/>
          <w:szCs w:val="23"/>
        </w:rPr>
        <w:t xml:space="preserve"> 1971, § 76, </w:t>
      </w:r>
      <w:proofErr w:type="spellStart"/>
      <w:r w:rsidRPr="00A2044C">
        <w:rPr>
          <w:rFonts w:asciiTheme="minorHAnsi" w:hAnsiTheme="minorHAnsi"/>
          <w:sz w:val="23"/>
          <w:szCs w:val="23"/>
        </w:rPr>
        <w:t>Series</w:t>
      </w:r>
      <w:proofErr w:type="spellEnd"/>
      <w:r w:rsidRPr="00A2044C">
        <w:rPr>
          <w:rFonts w:asciiTheme="minorHAnsi" w:hAnsiTheme="minorHAnsi"/>
          <w:sz w:val="23"/>
          <w:szCs w:val="23"/>
        </w:rPr>
        <w:t xml:space="preserve"> A no. 12). </w:t>
      </w:r>
      <w:r w:rsidR="00A83D5D" w:rsidRPr="00A2044C">
        <w:rPr>
          <w:rFonts w:asciiTheme="minorHAnsi" w:hAnsiTheme="minorHAnsi"/>
          <w:sz w:val="23"/>
          <w:szCs w:val="23"/>
        </w:rPr>
        <w:t>Akıl hastalığı bu tür bir hakkın kullanılmasını sınırlayabilir veya dönüştürebilir (</w:t>
      </w:r>
      <w:proofErr w:type="spellStart"/>
      <w:r w:rsidR="00A83D5D" w:rsidRPr="00A2044C">
        <w:rPr>
          <w:rFonts w:asciiTheme="minorHAnsi" w:hAnsiTheme="minorHAnsi"/>
          <w:sz w:val="23"/>
          <w:szCs w:val="23"/>
        </w:rPr>
        <w:t>see</w:t>
      </w:r>
      <w:proofErr w:type="spellEnd"/>
      <w:r w:rsidR="00A83D5D" w:rsidRPr="00A2044C">
        <w:rPr>
          <w:rFonts w:asciiTheme="minorHAnsi" w:hAnsiTheme="minorHAnsi"/>
          <w:sz w:val="23"/>
          <w:szCs w:val="23"/>
        </w:rPr>
        <w:t xml:space="preserve"> </w:t>
      </w:r>
      <w:proofErr w:type="spellStart"/>
      <w:r w:rsidR="00A83D5D" w:rsidRPr="00A2044C">
        <w:rPr>
          <w:rFonts w:asciiTheme="minorHAnsi" w:hAnsiTheme="minorHAnsi"/>
          <w:i/>
          <w:iCs/>
          <w:sz w:val="23"/>
          <w:szCs w:val="23"/>
        </w:rPr>
        <w:t>Golder</w:t>
      </w:r>
      <w:proofErr w:type="spellEnd"/>
      <w:r w:rsidR="00A83D5D" w:rsidRPr="00A2044C">
        <w:rPr>
          <w:rFonts w:asciiTheme="minorHAnsi" w:hAnsiTheme="minorHAnsi"/>
          <w:i/>
          <w:iCs/>
          <w:sz w:val="23"/>
          <w:szCs w:val="23"/>
        </w:rPr>
        <w:t xml:space="preserve"> v. </w:t>
      </w:r>
      <w:proofErr w:type="spellStart"/>
      <w:r w:rsidR="00A83D5D" w:rsidRPr="00A2044C">
        <w:rPr>
          <w:rFonts w:asciiTheme="minorHAnsi" w:hAnsiTheme="minorHAnsi"/>
          <w:i/>
          <w:iCs/>
          <w:sz w:val="23"/>
          <w:szCs w:val="23"/>
        </w:rPr>
        <w:t>the</w:t>
      </w:r>
      <w:proofErr w:type="spellEnd"/>
      <w:r w:rsidR="00A83D5D" w:rsidRPr="00A2044C">
        <w:rPr>
          <w:rFonts w:asciiTheme="minorHAnsi" w:hAnsiTheme="minorHAnsi"/>
          <w:i/>
          <w:iCs/>
          <w:sz w:val="23"/>
          <w:szCs w:val="23"/>
        </w:rPr>
        <w:t xml:space="preserve"> United </w:t>
      </w:r>
      <w:proofErr w:type="spellStart"/>
      <w:r w:rsidR="00A83D5D" w:rsidRPr="00A2044C">
        <w:rPr>
          <w:rFonts w:asciiTheme="minorHAnsi" w:hAnsiTheme="minorHAnsi"/>
          <w:i/>
          <w:iCs/>
          <w:sz w:val="23"/>
          <w:szCs w:val="23"/>
        </w:rPr>
        <w:t>Kingdom</w:t>
      </w:r>
      <w:proofErr w:type="spellEnd"/>
      <w:r w:rsidR="00A83D5D" w:rsidRPr="00A2044C">
        <w:rPr>
          <w:rFonts w:asciiTheme="minorHAnsi" w:hAnsiTheme="minorHAnsi"/>
          <w:sz w:val="23"/>
          <w:szCs w:val="23"/>
        </w:rPr>
        <w:t xml:space="preserve">, 21 </w:t>
      </w:r>
      <w:proofErr w:type="spellStart"/>
      <w:r w:rsidR="00A83D5D" w:rsidRPr="00A2044C">
        <w:rPr>
          <w:rFonts w:asciiTheme="minorHAnsi" w:hAnsiTheme="minorHAnsi"/>
          <w:sz w:val="23"/>
          <w:szCs w:val="23"/>
        </w:rPr>
        <w:t>February</w:t>
      </w:r>
      <w:proofErr w:type="spellEnd"/>
      <w:r w:rsidR="00A83D5D" w:rsidRPr="00A2044C">
        <w:rPr>
          <w:rFonts w:asciiTheme="minorHAnsi" w:hAnsiTheme="minorHAnsi"/>
          <w:sz w:val="23"/>
          <w:szCs w:val="23"/>
        </w:rPr>
        <w:t xml:space="preserve"> 1975, § 39, </w:t>
      </w:r>
      <w:proofErr w:type="spellStart"/>
      <w:r w:rsidR="00A83D5D" w:rsidRPr="00A2044C">
        <w:rPr>
          <w:rFonts w:asciiTheme="minorHAnsi" w:hAnsiTheme="minorHAnsi"/>
          <w:sz w:val="23"/>
          <w:szCs w:val="23"/>
        </w:rPr>
        <w:t>Series</w:t>
      </w:r>
      <w:proofErr w:type="spellEnd"/>
      <w:r w:rsidR="00A83D5D" w:rsidRPr="00A2044C">
        <w:rPr>
          <w:rFonts w:asciiTheme="minorHAnsi" w:hAnsiTheme="minorHAnsi"/>
          <w:sz w:val="23"/>
          <w:szCs w:val="23"/>
        </w:rPr>
        <w:t xml:space="preserve"> A no. 18), fakat hakkın özünün ortadan kaldırılmasını haklı kılamaz. Gerçekte, zihinsel engelleri nedeniyle kendileri adına hareket etme yetisinden yoksun kişilerin menfaatlerinin korunması için özel </w:t>
      </w:r>
      <w:proofErr w:type="spellStart"/>
      <w:r w:rsidR="00A83D5D" w:rsidRPr="00A2044C">
        <w:rPr>
          <w:rFonts w:asciiTheme="minorHAnsi" w:hAnsiTheme="minorHAnsi"/>
          <w:sz w:val="23"/>
          <w:szCs w:val="23"/>
        </w:rPr>
        <w:t>usuli</w:t>
      </w:r>
      <w:proofErr w:type="spellEnd"/>
      <w:r w:rsidR="00A83D5D" w:rsidRPr="00A2044C">
        <w:rPr>
          <w:rFonts w:asciiTheme="minorHAnsi" w:hAnsiTheme="minorHAnsi"/>
          <w:sz w:val="23"/>
          <w:szCs w:val="23"/>
        </w:rPr>
        <w:t xml:space="preserve"> güvenceler getirilmesi gerekebilir. (</w:t>
      </w:r>
      <w:proofErr w:type="spellStart"/>
      <w:r w:rsidR="00A83D5D" w:rsidRPr="00A2044C">
        <w:rPr>
          <w:rFonts w:asciiTheme="minorHAnsi" w:hAnsiTheme="minorHAnsi"/>
          <w:sz w:val="23"/>
          <w:szCs w:val="23"/>
        </w:rPr>
        <w:t>see</w:t>
      </w:r>
      <w:proofErr w:type="spellEnd"/>
      <w:r w:rsidR="00A83D5D" w:rsidRPr="00A2044C">
        <w:rPr>
          <w:rFonts w:asciiTheme="minorHAnsi" w:hAnsiTheme="minorHAnsi"/>
          <w:sz w:val="23"/>
          <w:szCs w:val="23"/>
        </w:rPr>
        <w:t xml:space="preserve"> </w:t>
      </w:r>
      <w:proofErr w:type="spellStart"/>
      <w:r w:rsidR="00A83D5D" w:rsidRPr="00A2044C">
        <w:rPr>
          <w:rFonts w:asciiTheme="minorHAnsi" w:hAnsiTheme="minorHAnsi"/>
          <w:i/>
          <w:iCs/>
          <w:sz w:val="23"/>
          <w:szCs w:val="23"/>
        </w:rPr>
        <w:t>Winterwerp</w:t>
      </w:r>
      <w:proofErr w:type="spellEnd"/>
      <w:r w:rsidR="00A83D5D" w:rsidRPr="00A2044C">
        <w:rPr>
          <w:rFonts w:asciiTheme="minorHAnsi" w:hAnsiTheme="minorHAnsi"/>
          <w:i/>
          <w:iCs/>
          <w:sz w:val="23"/>
          <w:szCs w:val="23"/>
        </w:rPr>
        <w:t xml:space="preserve"> v. </w:t>
      </w:r>
      <w:proofErr w:type="spellStart"/>
      <w:r w:rsidR="00A83D5D" w:rsidRPr="00A2044C">
        <w:rPr>
          <w:rFonts w:asciiTheme="minorHAnsi" w:hAnsiTheme="minorHAnsi"/>
          <w:i/>
          <w:iCs/>
          <w:sz w:val="23"/>
          <w:szCs w:val="23"/>
        </w:rPr>
        <w:t>the</w:t>
      </w:r>
      <w:proofErr w:type="spellEnd"/>
      <w:r w:rsidR="00A83D5D" w:rsidRPr="00A2044C">
        <w:rPr>
          <w:rFonts w:asciiTheme="minorHAnsi" w:hAnsiTheme="minorHAnsi"/>
          <w:i/>
          <w:iCs/>
          <w:sz w:val="23"/>
          <w:szCs w:val="23"/>
        </w:rPr>
        <w:t xml:space="preserve"> </w:t>
      </w:r>
      <w:proofErr w:type="spellStart"/>
      <w:r w:rsidR="00A83D5D" w:rsidRPr="00A2044C">
        <w:rPr>
          <w:rFonts w:asciiTheme="minorHAnsi" w:hAnsiTheme="minorHAnsi"/>
          <w:i/>
          <w:iCs/>
          <w:sz w:val="23"/>
          <w:szCs w:val="23"/>
        </w:rPr>
        <w:t>Netherlands</w:t>
      </w:r>
      <w:proofErr w:type="spellEnd"/>
      <w:r w:rsidR="00A83D5D" w:rsidRPr="00A2044C">
        <w:rPr>
          <w:rFonts w:asciiTheme="minorHAnsi" w:hAnsiTheme="minorHAnsi"/>
          <w:sz w:val="23"/>
          <w:szCs w:val="23"/>
        </w:rPr>
        <w:t xml:space="preserve">, 24 </w:t>
      </w:r>
      <w:proofErr w:type="spellStart"/>
      <w:r w:rsidR="00A83D5D" w:rsidRPr="00A2044C">
        <w:rPr>
          <w:rFonts w:asciiTheme="minorHAnsi" w:hAnsiTheme="minorHAnsi"/>
          <w:sz w:val="23"/>
          <w:szCs w:val="23"/>
        </w:rPr>
        <w:t>October</w:t>
      </w:r>
      <w:proofErr w:type="spellEnd"/>
      <w:r w:rsidR="00A83D5D" w:rsidRPr="00A2044C">
        <w:rPr>
          <w:rFonts w:asciiTheme="minorHAnsi" w:hAnsiTheme="minorHAnsi"/>
          <w:sz w:val="23"/>
          <w:szCs w:val="23"/>
        </w:rPr>
        <w:t xml:space="preserve"> 1979, § 60, </w:t>
      </w:r>
      <w:proofErr w:type="spellStart"/>
      <w:r w:rsidR="00A83D5D" w:rsidRPr="00A2044C">
        <w:rPr>
          <w:rFonts w:asciiTheme="minorHAnsi" w:hAnsiTheme="minorHAnsi"/>
          <w:sz w:val="23"/>
          <w:szCs w:val="23"/>
        </w:rPr>
        <w:t>Series</w:t>
      </w:r>
      <w:proofErr w:type="spellEnd"/>
      <w:r w:rsidR="00A83D5D" w:rsidRPr="00A2044C">
        <w:rPr>
          <w:rFonts w:asciiTheme="minorHAnsi" w:hAnsiTheme="minorHAnsi"/>
          <w:sz w:val="23"/>
          <w:szCs w:val="23"/>
        </w:rPr>
        <w:t xml:space="preserve"> A no. 33). Fiili bir engel </w:t>
      </w:r>
      <w:r w:rsidR="00A2044C" w:rsidRPr="00A2044C">
        <w:rPr>
          <w:rFonts w:asciiTheme="minorHAnsi" w:hAnsiTheme="minorHAnsi"/>
          <w:sz w:val="23"/>
          <w:szCs w:val="23"/>
        </w:rPr>
        <w:t xml:space="preserve">hukuki butlan gibi </w:t>
      </w:r>
      <w:r w:rsidR="000103C2">
        <w:rPr>
          <w:rFonts w:asciiTheme="minorHAnsi" w:hAnsiTheme="minorHAnsi"/>
          <w:sz w:val="23"/>
          <w:szCs w:val="23"/>
        </w:rPr>
        <w:t xml:space="preserve">bir </w:t>
      </w:r>
      <w:r w:rsidR="00A83D5D" w:rsidRPr="00A2044C">
        <w:rPr>
          <w:rFonts w:asciiTheme="minorHAnsi" w:hAnsiTheme="minorHAnsi"/>
          <w:sz w:val="23"/>
          <w:szCs w:val="23"/>
        </w:rPr>
        <w:t>Sözleşmeye aykırı</w:t>
      </w:r>
      <w:r w:rsidR="00A2044C" w:rsidRPr="00A2044C">
        <w:rPr>
          <w:rFonts w:asciiTheme="minorHAnsi" w:hAnsiTheme="minorHAnsi"/>
          <w:sz w:val="23"/>
          <w:szCs w:val="23"/>
        </w:rPr>
        <w:t>lık</w:t>
      </w:r>
      <w:r w:rsidR="00A83D5D" w:rsidRPr="00A2044C">
        <w:rPr>
          <w:rFonts w:asciiTheme="minorHAnsi" w:hAnsiTheme="minorHAnsi"/>
          <w:sz w:val="23"/>
          <w:szCs w:val="23"/>
        </w:rPr>
        <w:t xml:space="preserve"> ol</w:t>
      </w:r>
      <w:r w:rsidR="00A2044C" w:rsidRPr="00A2044C">
        <w:rPr>
          <w:rFonts w:asciiTheme="minorHAnsi" w:hAnsiTheme="minorHAnsi"/>
          <w:sz w:val="23"/>
          <w:szCs w:val="23"/>
        </w:rPr>
        <w:t>uştur</w:t>
      </w:r>
      <w:r w:rsidR="00A83D5D" w:rsidRPr="00A2044C">
        <w:rPr>
          <w:rFonts w:asciiTheme="minorHAnsi" w:hAnsiTheme="minorHAnsi"/>
          <w:sz w:val="23"/>
          <w:szCs w:val="23"/>
        </w:rPr>
        <w:t>abilir</w:t>
      </w:r>
      <w:r w:rsidR="00A2044C" w:rsidRPr="00A2044C">
        <w:rPr>
          <w:rFonts w:asciiTheme="minorHAnsi" w:hAnsiTheme="minorHAnsi"/>
          <w:sz w:val="23"/>
          <w:szCs w:val="23"/>
        </w:rPr>
        <w:t xml:space="preserve">. (Bkz. Yukarıda </w:t>
      </w:r>
      <w:proofErr w:type="spellStart"/>
      <w:r w:rsidR="00A2044C" w:rsidRPr="00A2044C">
        <w:rPr>
          <w:rFonts w:asciiTheme="minorHAnsi" w:hAnsiTheme="minorHAnsi"/>
          <w:i/>
          <w:iCs/>
          <w:sz w:val="23"/>
          <w:szCs w:val="23"/>
        </w:rPr>
        <w:t>Golder</w:t>
      </w:r>
      <w:proofErr w:type="spellEnd"/>
      <w:r w:rsidR="00A2044C" w:rsidRPr="00A2044C">
        <w:rPr>
          <w:rFonts w:asciiTheme="minorHAnsi" w:hAnsiTheme="minorHAnsi"/>
          <w:sz w:val="23"/>
          <w:szCs w:val="23"/>
        </w:rPr>
        <w:t>, § 26).</w:t>
      </w:r>
    </w:p>
    <w:p w:rsidR="00A2044C" w:rsidRPr="00A2044C" w:rsidRDefault="009A6257" w:rsidP="00793892">
      <w:pPr>
        <w:pStyle w:val="Default"/>
        <w:spacing w:before="240" w:line="276" w:lineRule="auto"/>
        <w:jc w:val="both"/>
        <w:rPr>
          <w:rFonts w:asciiTheme="minorHAnsi" w:hAnsiTheme="minorHAnsi"/>
          <w:sz w:val="23"/>
          <w:szCs w:val="23"/>
        </w:rPr>
      </w:pPr>
      <w:r w:rsidRPr="00B6495A">
        <w:rPr>
          <w:rFonts w:asciiTheme="minorHAnsi" w:hAnsiTheme="minorHAnsi"/>
          <w:b/>
          <w:sz w:val="23"/>
          <w:szCs w:val="23"/>
        </w:rPr>
        <w:t>114.</w:t>
      </w:r>
      <w:r w:rsidRPr="00A2044C">
        <w:rPr>
          <w:rFonts w:asciiTheme="minorHAnsi" w:hAnsiTheme="minorHAnsi"/>
          <w:sz w:val="23"/>
          <w:szCs w:val="23"/>
        </w:rPr>
        <w:t xml:space="preserve"> </w:t>
      </w:r>
      <w:r w:rsidR="00A2044C" w:rsidRPr="00A2044C">
        <w:rPr>
          <w:rFonts w:asciiTheme="minorHAnsi" w:hAnsiTheme="minorHAnsi"/>
          <w:sz w:val="23"/>
          <w:szCs w:val="23"/>
        </w:rPr>
        <w:t xml:space="preserve">Bu doğrultuda, Mahkeme </w:t>
      </w:r>
      <w:proofErr w:type="spellStart"/>
      <w:r w:rsidR="00A2044C" w:rsidRPr="00A2044C">
        <w:rPr>
          <w:rFonts w:asciiTheme="minorHAnsi" w:hAnsiTheme="minorHAnsi"/>
          <w:sz w:val="23"/>
          <w:szCs w:val="23"/>
        </w:rPr>
        <w:t>CLR’nin</w:t>
      </w:r>
      <w:proofErr w:type="spellEnd"/>
      <w:r w:rsidR="00A2044C" w:rsidRPr="00A2044C">
        <w:rPr>
          <w:rFonts w:asciiTheme="minorHAnsi" w:hAnsiTheme="minorHAnsi"/>
          <w:sz w:val="23"/>
          <w:szCs w:val="23"/>
        </w:rPr>
        <w:t xml:space="preserve"> </w:t>
      </w:r>
      <w:proofErr w:type="spellStart"/>
      <w:r w:rsidR="00A2044C" w:rsidRPr="00A2044C">
        <w:rPr>
          <w:rFonts w:asciiTheme="minorHAnsi" w:hAnsiTheme="minorHAnsi"/>
          <w:i/>
          <w:iCs/>
          <w:sz w:val="23"/>
          <w:szCs w:val="23"/>
        </w:rPr>
        <w:t>locus</w:t>
      </w:r>
      <w:proofErr w:type="spellEnd"/>
      <w:r w:rsidR="00A2044C" w:rsidRPr="00A2044C">
        <w:rPr>
          <w:rFonts w:asciiTheme="minorHAnsi" w:hAnsiTheme="minorHAnsi"/>
          <w:i/>
          <w:iCs/>
          <w:sz w:val="23"/>
          <w:szCs w:val="23"/>
        </w:rPr>
        <w:t xml:space="preserve"> </w:t>
      </w:r>
      <w:proofErr w:type="spellStart"/>
      <w:r w:rsidR="00A2044C" w:rsidRPr="00A2044C">
        <w:rPr>
          <w:rFonts w:asciiTheme="minorHAnsi" w:hAnsiTheme="minorHAnsi"/>
          <w:i/>
          <w:iCs/>
          <w:sz w:val="23"/>
          <w:szCs w:val="23"/>
        </w:rPr>
        <w:t>standi</w:t>
      </w:r>
      <w:r w:rsidR="00A2044C" w:rsidRPr="00A2044C">
        <w:rPr>
          <w:rFonts w:asciiTheme="minorHAnsi" w:hAnsiTheme="minorHAnsi"/>
          <w:iCs/>
          <w:sz w:val="23"/>
          <w:szCs w:val="23"/>
        </w:rPr>
        <w:t>’ye</w:t>
      </w:r>
      <w:proofErr w:type="spellEnd"/>
      <w:r w:rsidR="00A2044C" w:rsidRPr="00A2044C">
        <w:rPr>
          <w:rFonts w:asciiTheme="minorHAnsi" w:hAnsiTheme="minorHAnsi"/>
          <w:iCs/>
          <w:sz w:val="23"/>
          <w:szCs w:val="23"/>
        </w:rPr>
        <w:t xml:space="preserve"> sahip olmadığı yönündeki itirazını haklı bulmayarak </w:t>
      </w:r>
      <w:proofErr w:type="spellStart"/>
      <w:r w:rsidR="00A2044C" w:rsidRPr="00A2044C">
        <w:rPr>
          <w:rFonts w:asciiTheme="minorHAnsi" w:hAnsiTheme="minorHAnsi"/>
          <w:iCs/>
          <w:sz w:val="23"/>
          <w:szCs w:val="23"/>
        </w:rPr>
        <w:t>CLR’nin</w:t>
      </w:r>
      <w:proofErr w:type="spellEnd"/>
      <w:r w:rsidR="00A2044C" w:rsidRPr="00A2044C">
        <w:rPr>
          <w:rFonts w:asciiTheme="minorHAnsi" w:hAnsiTheme="minorHAnsi"/>
          <w:iCs/>
          <w:sz w:val="23"/>
          <w:szCs w:val="23"/>
        </w:rPr>
        <w:t xml:space="preserve"> Bay </w:t>
      </w:r>
      <w:proofErr w:type="spellStart"/>
      <w:r w:rsidR="00A2044C" w:rsidRPr="00A2044C">
        <w:rPr>
          <w:rFonts w:asciiTheme="minorHAnsi" w:hAnsiTheme="minorHAnsi"/>
          <w:sz w:val="23"/>
          <w:szCs w:val="23"/>
        </w:rPr>
        <w:t>Câmpeanu’nun</w:t>
      </w:r>
      <w:proofErr w:type="spellEnd"/>
      <w:r w:rsidR="00A2044C" w:rsidRPr="00A2044C">
        <w:rPr>
          <w:rFonts w:asciiTheme="minorHAnsi" w:hAnsiTheme="minorHAnsi"/>
          <w:sz w:val="23"/>
          <w:szCs w:val="23"/>
        </w:rPr>
        <w:t xml:space="preserve"> de </w:t>
      </w:r>
      <w:proofErr w:type="spellStart"/>
      <w:r w:rsidR="00A2044C" w:rsidRPr="00A2044C">
        <w:rPr>
          <w:rFonts w:asciiTheme="minorHAnsi" w:hAnsiTheme="minorHAnsi"/>
          <w:sz w:val="23"/>
          <w:szCs w:val="23"/>
        </w:rPr>
        <w:t>facto</w:t>
      </w:r>
      <w:proofErr w:type="spellEnd"/>
      <w:r w:rsidR="00A2044C" w:rsidRPr="00A2044C">
        <w:rPr>
          <w:rFonts w:asciiTheme="minorHAnsi" w:hAnsiTheme="minorHAnsi"/>
          <w:sz w:val="23"/>
          <w:szCs w:val="23"/>
        </w:rPr>
        <w:t xml:space="preserve"> (fiili) temsilcisi olduğunu kabul eder. Ayrıca Mahkeme</w:t>
      </w:r>
      <w:r w:rsidR="000103C2">
        <w:rPr>
          <w:rFonts w:asciiTheme="minorHAnsi" w:hAnsiTheme="minorHAnsi"/>
          <w:sz w:val="23"/>
          <w:szCs w:val="23"/>
        </w:rPr>
        <w:t>,</w:t>
      </w:r>
      <w:r w:rsidR="00A2044C" w:rsidRPr="00A2044C">
        <w:rPr>
          <w:rFonts w:asciiTheme="minorHAnsi" w:hAnsiTheme="minorHAnsi"/>
          <w:sz w:val="23"/>
          <w:szCs w:val="23"/>
        </w:rPr>
        <w:t xml:space="preserve"> bu başlık altındaki şikayetlerin Sözleşmenin 35 § 3 (a) maddesi anlamında açıkça asılsız ya da başka açılardan kabul edilemez olmadığını belirtir. Bu nedenle kabul edilebilirlik kararı verilmiştir. </w:t>
      </w:r>
    </w:p>
    <w:p w:rsidR="005D0D9F" w:rsidRPr="00A2044C" w:rsidRDefault="005D0D9F" w:rsidP="00793892">
      <w:pPr>
        <w:pStyle w:val="Default"/>
        <w:spacing w:before="240" w:line="276" w:lineRule="auto"/>
        <w:jc w:val="both"/>
        <w:rPr>
          <w:rFonts w:asciiTheme="minorHAnsi" w:hAnsiTheme="minorHAnsi"/>
          <w:sz w:val="23"/>
          <w:szCs w:val="23"/>
        </w:rPr>
      </w:pPr>
    </w:p>
    <w:sectPr w:rsidR="005D0D9F" w:rsidRPr="00A2044C" w:rsidSect="000A05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E2F0B"/>
    <w:rsid w:val="000103C2"/>
    <w:rsid w:val="000A05D9"/>
    <w:rsid w:val="000E40FC"/>
    <w:rsid w:val="000E46CE"/>
    <w:rsid w:val="00101049"/>
    <w:rsid w:val="00147855"/>
    <w:rsid w:val="00175243"/>
    <w:rsid w:val="001A2EDA"/>
    <w:rsid w:val="001C3E70"/>
    <w:rsid w:val="002F0649"/>
    <w:rsid w:val="00364C66"/>
    <w:rsid w:val="003B76B6"/>
    <w:rsid w:val="003E1CC2"/>
    <w:rsid w:val="003E2F0B"/>
    <w:rsid w:val="0044360F"/>
    <w:rsid w:val="004D4C4E"/>
    <w:rsid w:val="0053433B"/>
    <w:rsid w:val="00576C8F"/>
    <w:rsid w:val="005D0D9F"/>
    <w:rsid w:val="005E0A9A"/>
    <w:rsid w:val="00725CBC"/>
    <w:rsid w:val="00793892"/>
    <w:rsid w:val="008C5013"/>
    <w:rsid w:val="009A6257"/>
    <w:rsid w:val="009D6874"/>
    <w:rsid w:val="009F2F35"/>
    <w:rsid w:val="00A013B5"/>
    <w:rsid w:val="00A2044C"/>
    <w:rsid w:val="00A65395"/>
    <w:rsid w:val="00A83D5D"/>
    <w:rsid w:val="00AB30EF"/>
    <w:rsid w:val="00AB66DC"/>
    <w:rsid w:val="00AC25FD"/>
    <w:rsid w:val="00B51654"/>
    <w:rsid w:val="00B6495A"/>
    <w:rsid w:val="00C2086C"/>
    <w:rsid w:val="00CE2FFD"/>
    <w:rsid w:val="00D215C5"/>
    <w:rsid w:val="00DF24F5"/>
    <w:rsid w:val="00E7120B"/>
    <w:rsid w:val="00EF60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2F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3120</TotalTime>
  <Pages>1</Pages>
  <Words>2911</Words>
  <Characters>16595</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2014-12-26T12:10:00Z</dcterms:created>
  <dcterms:modified xsi:type="dcterms:W3CDTF">2015-01-20T22:39:00Z</dcterms:modified>
</cp:coreProperties>
</file>