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DA0C" w14:textId="77777777" w:rsidR="00DA55FA" w:rsidRPr="00AE0EE2" w:rsidRDefault="00DA55FA" w:rsidP="00C16AA4">
      <w:pPr>
        <w:rPr>
          <w:rFonts w:ascii="Garamond" w:hAnsi="Garamond" w:cs="Times New Roman"/>
          <w:sz w:val="23"/>
          <w:szCs w:val="23"/>
          <w:lang w:val="en-US"/>
        </w:rPr>
      </w:pPr>
    </w:p>
    <w:p w14:paraId="3686F44C" w14:textId="77777777" w:rsidR="00DA55FA" w:rsidRPr="00AE0EE2" w:rsidRDefault="00DA55FA" w:rsidP="00C16AA4">
      <w:pPr>
        <w:rPr>
          <w:rFonts w:ascii="Garamond" w:hAnsi="Garamond" w:cs="Times New Roman"/>
          <w:sz w:val="23"/>
          <w:szCs w:val="23"/>
          <w:lang w:val="en-US"/>
        </w:rPr>
      </w:pPr>
    </w:p>
    <w:p w14:paraId="7256DDD9" w14:textId="77777777" w:rsidR="00DA55FA" w:rsidRPr="00AE0EE2" w:rsidRDefault="00DA55FA" w:rsidP="00C16AA4">
      <w:pPr>
        <w:rPr>
          <w:rFonts w:ascii="Garamond" w:hAnsi="Garamond" w:cs="Times New Roman"/>
          <w:sz w:val="23"/>
          <w:szCs w:val="23"/>
          <w:lang w:val="en-US"/>
        </w:rPr>
      </w:pPr>
    </w:p>
    <w:p w14:paraId="0989D0A9" w14:textId="77777777" w:rsidR="00DA55FA" w:rsidRPr="00AE0EE2" w:rsidRDefault="00DA55FA" w:rsidP="00C16AA4">
      <w:pPr>
        <w:rPr>
          <w:rFonts w:ascii="Garamond" w:hAnsi="Garamond" w:cs="Times New Roman"/>
          <w:sz w:val="23"/>
          <w:szCs w:val="23"/>
          <w:lang w:val="en-US"/>
        </w:rPr>
      </w:pPr>
    </w:p>
    <w:p w14:paraId="07169C92" w14:textId="77777777" w:rsidR="00DA55FA" w:rsidRPr="00AE0EE2" w:rsidRDefault="00DA55FA" w:rsidP="00C16AA4">
      <w:pPr>
        <w:rPr>
          <w:rFonts w:ascii="Garamond" w:hAnsi="Garamond" w:cs="Times New Roman"/>
          <w:sz w:val="23"/>
          <w:szCs w:val="23"/>
          <w:lang w:val="en-US"/>
        </w:rPr>
      </w:pPr>
    </w:p>
    <w:p w14:paraId="098130DC" w14:textId="77777777" w:rsidR="00DA55FA" w:rsidRPr="00AE0EE2" w:rsidRDefault="00DA55FA" w:rsidP="00C16AA4">
      <w:pPr>
        <w:rPr>
          <w:rFonts w:ascii="Garamond" w:hAnsi="Garamond" w:cs="Times New Roman"/>
          <w:sz w:val="23"/>
          <w:szCs w:val="23"/>
          <w:lang w:val="en-US"/>
        </w:rPr>
      </w:pPr>
    </w:p>
    <w:p w14:paraId="3C3C14A8" w14:textId="77777777" w:rsidR="00DA55FA" w:rsidRPr="00AE0EE2" w:rsidRDefault="00DA55FA" w:rsidP="00C16AA4">
      <w:pPr>
        <w:rPr>
          <w:rFonts w:ascii="Garamond" w:hAnsi="Garamond" w:cs="Times New Roman"/>
          <w:sz w:val="23"/>
          <w:szCs w:val="23"/>
          <w:lang w:val="en-US"/>
        </w:rPr>
      </w:pPr>
    </w:p>
    <w:p w14:paraId="67F1355D" w14:textId="77777777" w:rsidR="00DA55FA" w:rsidRPr="00D41F65" w:rsidRDefault="00DA55FA" w:rsidP="00DA55FA">
      <w:pPr>
        <w:jc w:val="center"/>
        <w:rPr>
          <w:rFonts w:ascii="Garamond" w:hAnsi="Garamond" w:cs="Times New Roman"/>
          <w:b/>
          <w:sz w:val="44"/>
          <w:szCs w:val="44"/>
          <w:lang w:val="en-US"/>
        </w:rPr>
      </w:pPr>
      <w:r w:rsidRPr="00D41F65">
        <w:rPr>
          <w:rFonts w:ascii="Garamond" w:hAnsi="Garamond" w:cs="Times New Roman"/>
          <w:b/>
          <w:sz w:val="44"/>
          <w:szCs w:val="44"/>
          <w:lang w:val="en-US"/>
        </w:rPr>
        <w:t>FREEDOM OF PEACEFUL ASSEMBLY</w:t>
      </w:r>
      <w:r w:rsidRPr="00D41F65">
        <w:rPr>
          <w:rFonts w:ascii="Garamond" w:hAnsi="Garamond" w:cs="Times New Roman"/>
          <w:b/>
          <w:sz w:val="44"/>
          <w:szCs w:val="44"/>
          <w:lang w:val="en-US"/>
        </w:rPr>
        <w:br/>
        <w:t>MONITORING REPORT</w:t>
      </w:r>
    </w:p>
    <w:p w14:paraId="2B9923CD" w14:textId="77777777" w:rsidR="00DA55FA" w:rsidRPr="00D41F65" w:rsidRDefault="00DA55FA" w:rsidP="00C16AA4">
      <w:pPr>
        <w:rPr>
          <w:rFonts w:ascii="Garamond" w:hAnsi="Garamond" w:cs="Times New Roman"/>
          <w:b/>
          <w:sz w:val="32"/>
          <w:szCs w:val="32"/>
          <w:lang w:val="en-US"/>
        </w:rPr>
      </w:pPr>
    </w:p>
    <w:p w14:paraId="2CFF4258" w14:textId="77777777" w:rsidR="00AE0EE2" w:rsidRPr="00D41F65" w:rsidRDefault="00AE0EE2" w:rsidP="00DA55FA">
      <w:pPr>
        <w:jc w:val="center"/>
        <w:rPr>
          <w:rFonts w:ascii="Garamond" w:hAnsi="Garamond" w:cs="Times New Roman"/>
          <w:b/>
          <w:sz w:val="32"/>
          <w:szCs w:val="32"/>
          <w:lang w:val="en-US"/>
        </w:rPr>
      </w:pPr>
    </w:p>
    <w:p w14:paraId="57A0FFC3" w14:textId="77777777" w:rsidR="00DA55FA" w:rsidRPr="00D41F65" w:rsidRDefault="00DA55FA" w:rsidP="00DA55FA">
      <w:pPr>
        <w:jc w:val="center"/>
        <w:rPr>
          <w:rFonts w:ascii="Garamond" w:hAnsi="Garamond" w:cs="Times New Roman"/>
          <w:b/>
          <w:sz w:val="32"/>
          <w:szCs w:val="32"/>
          <w:lang w:val="en-US"/>
        </w:rPr>
      </w:pPr>
      <w:r w:rsidRPr="00D41F65">
        <w:rPr>
          <w:rFonts w:ascii="Garamond" w:hAnsi="Garamond" w:cs="Times New Roman"/>
          <w:b/>
          <w:sz w:val="32"/>
          <w:szCs w:val="32"/>
          <w:lang w:val="en-US"/>
        </w:rPr>
        <w:t>OCTOBER 2015 – NOVEMBER 2016</w:t>
      </w:r>
    </w:p>
    <w:p w14:paraId="5680B4DB" w14:textId="77777777" w:rsidR="00AE0EE2" w:rsidRPr="00D41F65" w:rsidRDefault="00AE0EE2" w:rsidP="00DA55FA">
      <w:pPr>
        <w:jc w:val="center"/>
        <w:rPr>
          <w:rFonts w:ascii="Garamond" w:hAnsi="Garamond" w:cs="Times New Roman"/>
          <w:b/>
          <w:sz w:val="32"/>
          <w:szCs w:val="32"/>
          <w:lang w:val="en-US"/>
        </w:rPr>
      </w:pPr>
      <w:r w:rsidRPr="00D41F65">
        <w:rPr>
          <w:rFonts w:ascii="Garamond" w:hAnsi="Garamond" w:cs="Times New Roman"/>
          <w:b/>
          <w:sz w:val="32"/>
          <w:szCs w:val="32"/>
          <w:lang w:val="en-US"/>
        </w:rPr>
        <w:t>TURKEY</w:t>
      </w:r>
    </w:p>
    <w:p w14:paraId="22A7074F" w14:textId="77777777" w:rsidR="00DA55FA" w:rsidRPr="00AE0EE2" w:rsidRDefault="00DA55FA" w:rsidP="00C16AA4">
      <w:pPr>
        <w:rPr>
          <w:rFonts w:ascii="Garamond" w:hAnsi="Garamond" w:cs="Times New Roman"/>
          <w:sz w:val="23"/>
          <w:szCs w:val="23"/>
          <w:lang w:val="en-US"/>
        </w:rPr>
      </w:pPr>
    </w:p>
    <w:p w14:paraId="7CD01BB1" w14:textId="77777777" w:rsidR="00DA55FA" w:rsidRPr="00AE0EE2" w:rsidRDefault="00DA55FA" w:rsidP="00C16AA4">
      <w:pPr>
        <w:rPr>
          <w:rFonts w:ascii="Garamond" w:hAnsi="Garamond" w:cs="Times New Roman"/>
          <w:sz w:val="23"/>
          <w:szCs w:val="23"/>
          <w:lang w:val="en-US"/>
        </w:rPr>
      </w:pPr>
    </w:p>
    <w:p w14:paraId="56C345C4" w14:textId="77777777" w:rsidR="00DA55FA" w:rsidRPr="00AE0EE2" w:rsidRDefault="00DA55FA" w:rsidP="00C16AA4">
      <w:pPr>
        <w:rPr>
          <w:rFonts w:ascii="Garamond" w:hAnsi="Garamond" w:cs="Times New Roman"/>
          <w:sz w:val="23"/>
          <w:szCs w:val="23"/>
          <w:lang w:val="en-US"/>
        </w:rPr>
      </w:pPr>
    </w:p>
    <w:p w14:paraId="1C5862C5" w14:textId="77777777" w:rsidR="00DA55FA" w:rsidRPr="00AE0EE2" w:rsidRDefault="00DA55FA" w:rsidP="00C16AA4">
      <w:pPr>
        <w:rPr>
          <w:rFonts w:ascii="Garamond" w:hAnsi="Garamond" w:cs="Times New Roman"/>
          <w:sz w:val="23"/>
          <w:szCs w:val="23"/>
          <w:lang w:val="en-US"/>
        </w:rPr>
      </w:pPr>
    </w:p>
    <w:p w14:paraId="05D1EEFF" w14:textId="77777777" w:rsidR="00DA55FA" w:rsidRPr="00AE0EE2" w:rsidRDefault="00DA55FA" w:rsidP="00C16AA4">
      <w:pPr>
        <w:rPr>
          <w:rFonts w:ascii="Garamond" w:hAnsi="Garamond" w:cs="Times New Roman"/>
          <w:sz w:val="23"/>
          <w:szCs w:val="23"/>
          <w:lang w:val="en-US"/>
        </w:rPr>
      </w:pPr>
    </w:p>
    <w:p w14:paraId="61CA4E6D" w14:textId="77777777" w:rsidR="00DA55FA" w:rsidRPr="00AE0EE2" w:rsidRDefault="00DA55FA" w:rsidP="00C16AA4">
      <w:pPr>
        <w:rPr>
          <w:rFonts w:ascii="Garamond" w:hAnsi="Garamond" w:cs="Times New Roman"/>
          <w:sz w:val="23"/>
          <w:szCs w:val="23"/>
          <w:lang w:val="en-US"/>
        </w:rPr>
      </w:pPr>
    </w:p>
    <w:p w14:paraId="292FA8BB" w14:textId="77777777" w:rsidR="00DA55FA" w:rsidRPr="00AE0EE2" w:rsidRDefault="00DA55FA" w:rsidP="00C16AA4">
      <w:pPr>
        <w:rPr>
          <w:rFonts w:ascii="Garamond" w:hAnsi="Garamond" w:cs="Times New Roman"/>
          <w:sz w:val="23"/>
          <w:szCs w:val="23"/>
          <w:lang w:val="en-US"/>
        </w:rPr>
      </w:pPr>
    </w:p>
    <w:p w14:paraId="2468CE73" w14:textId="77777777" w:rsidR="00DA55FA" w:rsidRPr="00AE0EE2" w:rsidRDefault="00DA55FA" w:rsidP="00C16AA4">
      <w:pPr>
        <w:rPr>
          <w:rFonts w:ascii="Garamond" w:hAnsi="Garamond" w:cs="Times New Roman"/>
          <w:sz w:val="23"/>
          <w:szCs w:val="23"/>
          <w:lang w:val="en-US"/>
        </w:rPr>
      </w:pPr>
    </w:p>
    <w:p w14:paraId="63C4D450" w14:textId="77777777" w:rsidR="00DA55FA" w:rsidRPr="00AE0EE2" w:rsidRDefault="00DA55FA" w:rsidP="00C16AA4">
      <w:pPr>
        <w:rPr>
          <w:rFonts w:ascii="Garamond" w:hAnsi="Garamond" w:cs="Times New Roman"/>
          <w:sz w:val="23"/>
          <w:szCs w:val="23"/>
          <w:lang w:val="en-US"/>
        </w:rPr>
      </w:pPr>
    </w:p>
    <w:p w14:paraId="1111E64B" w14:textId="77777777" w:rsidR="00DA55FA" w:rsidRPr="00AE0EE2" w:rsidRDefault="00DA55FA" w:rsidP="00C16AA4">
      <w:pPr>
        <w:rPr>
          <w:rFonts w:ascii="Garamond" w:hAnsi="Garamond" w:cs="Times New Roman"/>
          <w:sz w:val="23"/>
          <w:szCs w:val="23"/>
          <w:lang w:val="en-US"/>
        </w:rPr>
      </w:pPr>
    </w:p>
    <w:p w14:paraId="76BC8DEE" w14:textId="77777777" w:rsidR="00DA55FA" w:rsidRPr="00AE0EE2" w:rsidRDefault="00D41F65" w:rsidP="00C16AA4">
      <w:pPr>
        <w:rPr>
          <w:rFonts w:ascii="Garamond" w:hAnsi="Garamond" w:cs="Times New Roman"/>
          <w:sz w:val="23"/>
          <w:szCs w:val="23"/>
          <w:lang w:val="en-US"/>
        </w:rPr>
      </w:pPr>
      <w:r>
        <w:rPr>
          <w:noProof/>
          <w:lang w:val="en-US"/>
        </w:rPr>
        <w:drawing>
          <wp:anchor distT="0" distB="0" distL="114300" distR="114300" simplePos="0" relativeHeight="251664384" behindDoc="0" locked="0" layoutInCell="1" allowOverlap="1" wp14:anchorId="6DC05FCC" wp14:editId="082817DD">
            <wp:simplePos x="0" y="0"/>
            <wp:positionH relativeFrom="column">
              <wp:posOffset>1600200</wp:posOffset>
            </wp:positionH>
            <wp:positionV relativeFrom="paragraph">
              <wp:posOffset>172085</wp:posOffset>
            </wp:positionV>
            <wp:extent cx="2519045" cy="1114425"/>
            <wp:effectExtent l="0" t="0" r="0" b="317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111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9DD6A0" w14:textId="77777777" w:rsidR="00DA55FA" w:rsidRPr="00AE0EE2" w:rsidRDefault="00DA55FA" w:rsidP="00C16AA4">
      <w:pPr>
        <w:rPr>
          <w:rFonts w:ascii="Garamond" w:hAnsi="Garamond" w:cs="Times New Roman"/>
          <w:sz w:val="23"/>
          <w:szCs w:val="23"/>
          <w:lang w:val="en-US"/>
        </w:rPr>
      </w:pPr>
    </w:p>
    <w:p w14:paraId="543F9902" w14:textId="77777777" w:rsidR="00DA55FA" w:rsidRPr="00AE0EE2" w:rsidRDefault="00DA55FA" w:rsidP="00C16AA4">
      <w:pPr>
        <w:rPr>
          <w:rFonts w:ascii="Garamond" w:hAnsi="Garamond" w:cs="Times New Roman"/>
          <w:sz w:val="23"/>
          <w:szCs w:val="23"/>
          <w:lang w:val="en-US"/>
        </w:rPr>
      </w:pPr>
    </w:p>
    <w:p w14:paraId="26DDB63F" w14:textId="77777777" w:rsidR="00DA55FA" w:rsidRPr="00AE0EE2" w:rsidRDefault="00DA55FA" w:rsidP="00C16AA4">
      <w:pPr>
        <w:rPr>
          <w:rFonts w:ascii="Garamond" w:hAnsi="Garamond" w:cs="Times New Roman"/>
          <w:sz w:val="23"/>
          <w:szCs w:val="23"/>
          <w:lang w:val="en-US"/>
        </w:rPr>
      </w:pPr>
    </w:p>
    <w:p w14:paraId="22A56488" w14:textId="77777777" w:rsidR="00D41F65" w:rsidRDefault="00D41F65" w:rsidP="00D41F65">
      <w:pPr>
        <w:pStyle w:val="Footer"/>
        <w:rPr>
          <w:rFonts w:ascii="Garamond" w:hAnsi="Garamond" w:cs="Times New Roman"/>
          <w:sz w:val="23"/>
          <w:szCs w:val="23"/>
          <w:lang w:val="en-US"/>
        </w:rPr>
      </w:pPr>
    </w:p>
    <w:p w14:paraId="3E0E807C" w14:textId="77777777" w:rsidR="00D41F65" w:rsidRDefault="00D41F65" w:rsidP="00D41F65">
      <w:pPr>
        <w:pStyle w:val="Footer"/>
        <w:rPr>
          <w:rFonts w:ascii="Garamond" w:hAnsi="Garamond" w:cs="Times New Roman"/>
          <w:sz w:val="23"/>
          <w:szCs w:val="23"/>
          <w:lang w:val="en-US"/>
        </w:rPr>
      </w:pPr>
    </w:p>
    <w:p w14:paraId="4D63EF09" w14:textId="77777777" w:rsidR="00D41F65" w:rsidRPr="00AB656E" w:rsidRDefault="00D41F65" w:rsidP="00D41F65">
      <w:pPr>
        <w:pStyle w:val="Footer"/>
        <w:jc w:val="center"/>
        <w:rPr>
          <w:b/>
          <w:sz w:val="16"/>
          <w:szCs w:val="16"/>
        </w:rPr>
      </w:pPr>
      <w:r w:rsidRPr="00AB656E">
        <w:rPr>
          <w:b/>
          <w:sz w:val="16"/>
          <w:szCs w:val="16"/>
        </w:rPr>
        <w:t>Web adresi:</w:t>
      </w:r>
      <w:r>
        <w:rPr>
          <w:b/>
          <w:color w:val="3366FF"/>
        </w:rPr>
        <w:t>www.esithaklar.org</w:t>
      </w:r>
    </w:p>
    <w:p w14:paraId="0DD60BE2" w14:textId="77777777" w:rsidR="00D41F65" w:rsidRPr="00AB656E" w:rsidRDefault="00D41F65" w:rsidP="00D41F65">
      <w:pPr>
        <w:pStyle w:val="Footer"/>
        <w:jc w:val="center"/>
        <w:rPr>
          <w:b/>
        </w:rPr>
      </w:pPr>
      <w:r w:rsidRPr="00AB656E">
        <w:rPr>
          <w:b/>
          <w:sz w:val="16"/>
          <w:szCs w:val="16"/>
        </w:rPr>
        <w:t xml:space="preserve">e-posta: </w:t>
      </w:r>
      <w:r w:rsidRPr="00AB656E">
        <w:rPr>
          <w:b/>
          <w:color w:val="3366FF"/>
        </w:rPr>
        <w:t>esithaklar@gmail.com</w:t>
      </w:r>
    </w:p>
    <w:p w14:paraId="679287E2" w14:textId="77777777" w:rsidR="00D41F65" w:rsidRPr="00AB656E" w:rsidRDefault="00D41F65" w:rsidP="00D41F65">
      <w:pPr>
        <w:pStyle w:val="Footer"/>
        <w:jc w:val="center"/>
        <w:rPr>
          <w:b/>
          <w:sz w:val="16"/>
          <w:szCs w:val="16"/>
        </w:rPr>
      </w:pPr>
      <w:r w:rsidRPr="00AB656E">
        <w:rPr>
          <w:b/>
          <w:sz w:val="16"/>
          <w:szCs w:val="16"/>
        </w:rPr>
        <w:t>Ad</w:t>
      </w:r>
      <w:r>
        <w:rPr>
          <w:b/>
          <w:sz w:val="16"/>
          <w:szCs w:val="16"/>
        </w:rPr>
        <w:t xml:space="preserve">res: </w:t>
      </w:r>
      <w:proofErr w:type="spellStart"/>
      <w:r>
        <w:rPr>
          <w:b/>
          <w:sz w:val="16"/>
          <w:szCs w:val="16"/>
        </w:rPr>
        <w:t>Kamerhatun</w:t>
      </w:r>
      <w:proofErr w:type="spellEnd"/>
      <w:r>
        <w:rPr>
          <w:b/>
          <w:sz w:val="16"/>
          <w:szCs w:val="16"/>
        </w:rPr>
        <w:t xml:space="preserve"> </w:t>
      </w:r>
      <w:proofErr w:type="spellStart"/>
      <w:r>
        <w:rPr>
          <w:b/>
          <w:sz w:val="16"/>
          <w:szCs w:val="16"/>
        </w:rPr>
        <w:t>mah.</w:t>
      </w:r>
      <w:proofErr w:type="spellEnd"/>
      <w:r>
        <w:rPr>
          <w:b/>
          <w:sz w:val="16"/>
          <w:szCs w:val="16"/>
        </w:rPr>
        <w:t xml:space="preserve"> Hamalbaşı So</w:t>
      </w:r>
      <w:r w:rsidRPr="00AB656E">
        <w:rPr>
          <w:b/>
          <w:sz w:val="16"/>
          <w:szCs w:val="16"/>
        </w:rPr>
        <w:t>k</w:t>
      </w:r>
      <w:r>
        <w:rPr>
          <w:b/>
          <w:sz w:val="16"/>
          <w:szCs w:val="16"/>
        </w:rPr>
        <w:t xml:space="preserve">ak No 22/9,     </w:t>
      </w:r>
      <w:r w:rsidRPr="00AB656E">
        <w:rPr>
          <w:b/>
          <w:sz w:val="16"/>
          <w:szCs w:val="16"/>
        </w:rPr>
        <w:t>Beyoğlu/ İSTANBUL</w:t>
      </w:r>
    </w:p>
    <w:p w14:paraId="7B73DE70" w14:textId="77777777" w:rsidR="00DA55FA" w:rsidRPr="00AE0EE2" w:rsidRDefault="00DA55FA" w:rsidP="00C16AA4">
      <w:pPr>
        <w:rPr>
          <w:rFonts w:ascii="Garamond" w:hAnsi="Garamond" w:cs="Times New Roman"/>
          <w:sz w:val="23"/>
          <w:szCs w:val="23"/>
          <w:lang w:val="en-US"/>
        </w:rPr>
      </w:pPr>
    </w:p>
    <w:p w14:paraId="272959C3" w14:textId="77777777" w:rsidR="00D41F65" w:rsidRDefault="00D41F65" w:rsidP="00D41F65">
      <w:pPr>
        <w:tabs>
          <w:tab w:val="left" w:pos="8370"/>
        </w:tabs>
        <w:rPr>
          <w:rFonts w:ascii="Garamond" w:hAnsi="Garamond" w:cs="Times New Roman"/>
          <w:sz w:val="23"/>
          <w:szCs w:val="23"/>
          <w:lang w:val="en-US"/>
        </w:rPr>
      </w:pPr>
    </w:p>
    <w:p w14:paraId="7865570B" w14:textId="77777777" w:rsidR="00D41F65" w:rsidRDefault="00D41F65" w:rsidP="00D41F65">
      <w:pPr>
        <w:tabs>
          <w:tab w:val="left" w:pos="8370"/>
        </w:tabs>
        <w:rPr>
          <w:rFonts w:ascii="Garamond" w:hAnsi="Garamond" w:cs="Times New Roman"/>
          <w:sz w:val="23"/>
          <w:szCs w:val="23"/>
          <w:lang w:val="en-US"/>
        </w:rPr>
      </w:pPr>
    </w:p>
    <w:p w14:paraId="62C92C97" w14:textId="77777777" w:rsidR="00DA55FA" w:rsidRPr="00D41F65" w:rsidRDefault="00DA55FA" w:rsidP="00D41F65">
      <w:pPr>
        <w:tabs>
          <w:tab w:val="left" w:pos="8370"/>
        </w:tabs>
        <w:jc w:val="center"/>
        <w:rPr>
          <w:rFonts w:ascii="Garamond" w:hAnsi="Garamond" w:cs="Times New Roman"/>
          <w:sz w:val="28"/>
          <w:szCs w:val="28"/>
          <w:lang w:val="en-US"/>
        </w:rPr>
      </w:pPr>
      <w:r w:rsidRPr="00D41F65">
        <w:rPr>
          <w:rFonts w:ascii="Garamond" w:hAnsi="Garamond" w:cs="Times New Roman"/>
          <w:sz w:val="28"/>
          <w:szCs w:val="28"/>
          <w:lang w:val="en-US"/>
        </w:rPr>
        <w:t>TABLE OF CONTENTS</w:t>
      </w:r>
    </w:p>
    <w:p w14:paraId="5AC096C3" w14:textId="77777777" w:rsidR="00D41F65" w:rsidRPr="00AE0EE2" w:rsidRDefault="00D41F65" w:rsidP="00D41F65">
      <w:pPr>
        <w:tabs>
          <w:tab w:val="left" w:pos="8370"/>
        </w:tabs>
        <w:jc w:val="center"/>
        <w:rPr>
          <w:rFonts w:ascii="Garamond" w:hAnsi="Garamond" w:cs="Times New Roman"/>
          <w:sz w:val="23"/>
          <w:szCs w:val="23"/>
          <w:lang w:val="en-US"/>
        </w:rPr>
      </w:pPr>
    </w:p>
    <w:p w14:paraId="2964A4FC" w14:textId="77777777" w:rsidR="00DA55FA" w:rsidRPr="00AE0EE2" w:rsidRDefault="00DA55FA" w:rsidP="00C16AA4">
      <w:pPr>
        <w:rPr>
          <w:rFonts w:ascii="Garamond" w:hAnsi="Garamond" w:cs="Times New Roman"/>
          <w:sz w:val="23"/>
          <w:szCs w:val="23"/>
          <w:lang w:val="en-US"/>
        </w:rPr>
      </w:pPr>
    </w:p>
    <w:p w14:paraId="151A31D7" w14:textId="77777777" w:rsidR="00DA55FA" w:rsidRPr="00AE0EE2" w:rsidRDefault="00604156" w:rsidP="00604156">
      <w:pPr>
        <w:tabs>
          <w:tab w:val="left" w:pos="8460"/>
        </w:tabs>
        <w:rPr>
          <w:rFonts w:ascii="Garamond" w:hAnsi="Garamond" w:cs="Times New Roman"/>
          <w:sz w:val="23"/>
          <w:szCs w:val="23"/>
          <w:lang w:val="en-US"/>
        </w:rPr>
      </w:pPr>
      <w:r w:rsidRPr="00AE0EE2">
        <w:rPr>
          <w:rFonts w:ascii="Garamond" w:hAnsi="Garamond" w:cs="Times New Roman"/>
          <w:sz w:val="23"/>
          <w:szCs w:val="23"/>
          <w:lang w:val="en-US"/>
        </w:rPr>
        <w:t>Introduction………………………………………………………</w:t>
      </w:r>
      <w:r w:rsidR="00AE0EE2" w:rsidRPr="00AE0EE2">
        <w:rPr>
          <w:rFonts w:ascii="Garamond" w:hAnsi="Garamond" w:cs="Times New Roman"/>
          <w:sz w:val="23"/>
          <w:szCs w:val="23"/>
          <w:lang w:val="en-US"/>
        </w:rPr>
        <w:t>………………………</w:t>
      </w:r>
      <w:r w:rsidR="00D41F65">
        <w:rPr>
          <w:rFonts w:ascii="Garamond" w:hAnsi="Garamond" w:cs="Times New Roman"/>
          <w:sz w:val="23"/>
          <w:szCs w:val="23"/>
          <w:lang w:val="en-US"/>
        </w:rPr>
        <w:t>........</w:t>
      </w:r>
      <w:r w:rsidRPr="00AE0EE2">
        <w:rPr>
          <w:rFonts w:ascii="Garamond" w:hAnsi="Garamond" w:cs="Times New Roman"/>
          <w:sz w:val="23"/>
          <w:szCs w:val="23"/>
          <w:lang w:val="en-US"/>
        </w:rPr>
        <w:tab/>
        <w:t>3</w:t>
      </w:r>
    </w:p>
    <w:p w14:paraId="28F6B3DD" w14:textId="77777777" w:rsidR="00604156" w:rsidRPr="00AE0EE2" w:rsidRDefault="00604156" w:rsidP="00604156">
      <w:pPr>
        <w:tabs>
          <w:tab w:val="left" w:pos="8460"/>
        </w:tabs>
        <w:rPr>
          <w:rFonts w:ascii="Garamond" w:hAnsi="Garamond" w:cs="Times New Roman"/>
          <w:sz w:val="23"/>
          <w:szCs w:val="23"/>
          <w:lang w:val="en-US"/>
        </w:rPr>
      </w:pPr>
      <w:r w:rsidRPr="00AE0EE2">
        <w:rPr>
          <w:rFonts w:ascii="Garamond" w:hAnsi="Garamond" w:cs="Times New Roman"/>
          <w:sz w:val="23"/>
          <w:szCs w:val="23"/>
          <w:lang w:val="en-US"/>
        </w:rPr>
        <w:t>Background of the Overall Situation</w:t>
      </w:r>
      <w:r w:rsidR="00AE0EE2" w:rsidRPr="00AE0EE2">
        <w:rPr>
          <w:rFonts w:ascii="Garamond" w:hAnsi="Garamond" w:cs="Times New Roman"/>
          <w:sz w:val="23"/>
          <w:szCs w:val="23"/>
          <w:lang w:val="en-US"/>
        </w:rPr>
        <w:t>……………………………………………………</w:t>
      </w:r>
      <w:r w:rsidR="00D41F65">
        <w:rPr>
          <w:rFonts w:ascii="Garamond" w:hAnsi="Garamond" w:cs="Times New Roman"/>
          <w:sz w:val="23"/>
          <w:szCs w:val="23"/>
          <w:lang w:val="en-US"/>
        </w:rPr>
        <w:t>……...</w:t>
      </w:r>
      <w:r w:rsidRPr="00AE0EE2">
        <w:rPr>
          <w:rFonts w:ascii="Garamond" w:hAnsi="Garamond" w:cs="Times New Roman"/>
          <w:sz w:val="23"/>
          <w:szCs w:val="23"/>
          <w:lang w:val="en-US"/>
        </w:rPr>
        <w:tab/>
        <w:t>4</w:t>
      </w:r>
    </w:p>
    <w:p w14:paraId="1B5EE5F3" w14:textId="77777777" w:rsidR="00604156" w:rsidRPr="00AE0EE2" w:rsidRDefault="00604156" w:rsidP="00604156">
      <w:pPr>
        <w:tabs>
          <w:tab w:val="left" w:pos="8460"/>
        </w:tabs>
        <w:rPr>
          <w:rFonts w:ascii="Garamond" w:hAnsi="Garamond" w:cs="Times New Roman"/>
          <w:sz w:val="23"/>
          <w:szCs w:val="23"/>
          <w:lang w:val="en-US"/>
        </w:rPr>
      </w:pPr>
      <w:r w:rsidRPr="00AE0EE2">
        <w:rPr>
          <w:rFonts w:ascii="Garamond" w:hAnsi="Garamond" w:cs="Times New Roman"/>
          <w:sz w:val="23"/>
          <w:szCs w:val="23"/>
          <w:lang w:val="en-US"/>
        </w:rPr>
        <w:t>Legislative Background</w:t>
      </w:r>
      <w:r w:rsidR="00AE0EE2" w:rsidRPr="00AE0EE2">
        <w:rPr>
          <w:rFonts w:ascii="Garamond" w:hAnsi="Garamond" w:cs="Times New Roman"/>
          <w:sz w:val="23"/>
          <w:szCs w:val="23"/>
          <w:lang w:val="en-US"/>
        </w:rPr>
        <w:t>…………………………………………………………………………………</w:t>
      </w:r>
      <w:r w:rsidR="00D41F65">
        <w:rPr>
          <w:rFonts w:ascii="Garamond" w:hAnsi="Garamond" w:cs="Times New Roman"/>
          <w:sz w:val="23"/>
          <w:szCs w:val="23"/>
          <w:lang w:val="en-US"/>
        </w:rPr>
        <w:t>…</w:t>
      </w:r>
      <w:r w:rsidRPr="00AE0EE2">
        <w:rPr>
          <w:rFonts w:ascii="Garamond" w:hAnsi="Garamond" w:cs="Times New Roman"/>
          <w:sz w:val="23"/>
          <w:szCs w:val="23"/>
          <w:lang w:val="en-US"/>
        </w:rPr>
        <w:tab/>
        <w:t>6</w:t>
      </w:r>
    </w:p>
    <w:p w14:paraId="22A86BC1" w14:textId="77777777" w:rsidR="00604156" w:rsidRPr="00AE0EE2" w:rsidRDefault="00604156" w:rsidP="00604156">
      <w:pPr>
        <w:tabs>
          <w:tab w:val="left" w:pos="8460"/>
        </w:tabs>
        <w:rPr>
          <w:rFonts w:ascii="Garamond" w:hAnsi="Garamond" w:cs="Times New Roman"/>
          <w:sz w:val="23"/>
          <w:szCs w:val="23"/>
          <w:lang w:val="en-US"/>
        </w:rPr>
      </w:pPr>
      <w:r w:rsidRPr="00AE0EE2">
        <w:rPr>
          <w:rFonts w:ascii="Garamond" w:hAnsi="Garamond" w:cs="Times New Roman"/>
          <w:sz w:val="23"/>
          <w:szCs w:val="23"/>
          <w:lang w:val="en-US"/>
        </w:rPr>
        <w:t>Methodology</w:t>
      </w:r>
      <w:r w:rsidR="00D41F65">
        <w:rPr>
          <w:rFonts w:ascii="Garamond" w:hAnsi="Garamond" w:cs="Times New Roman"/>
          <w:sz w:val="23"/>
          <w:szCs w:val="23"/>
          <w:lang w:val="en-US"/>
        </w:rPr>
        <w:t>……………………………</w:t>
      </w:r>
      <w:r w:rsidR="00AE0EE2" w:rsidRPr="00AE0EE2">
        <w:rPr>
          <w:rFonts w:ascii="Garamond" w:hAnsi="Garamond" w:cs="Times New Roman"/>
          <w:sz w:val="23"/>
          <w:szCs w:val="23"/>
          <w:lang w:val="en-US"/>
        </w:rPr>
        <w:t>………………………………………………</w:t>
      </w:r>
      <w:r w:rsidR="00D41F65">
        <w:rPr>
          <w:rFonts w:ascii="Garamond" w:hAnsi="Garamond" w:cs="Times New Roman"/>
          <w:sz w:val="23"/>
          <w:szCs w:val="23"/>
          <w:lang w:val="en-US"/>
        </w:rPr>
        <w:t>…….</w:t>
      </w:r>
      <w:r w:rsidRPr="00AE0EE2">
        <w:rPr>
          <w:rFonts w:ascii="Garamond" w:hAnsi="Garamond" w:cs="Times New Roman"/>
          <w:sz w:val="23"/>
          <w:szCs w:val="23"/>
          <w:lang w:val="en-US"/>
        </w:rPr>
        <w:tab/>
        <w:t>7</w:t>
      </w:r>
    </w:p>
    <w:p w14:paraId="323A81BD" w14:textId="77777777" w:rsidR="00604156" w:rsidRPr="00AE0EE2" w:rsidRDefault="00604156" w:rsidP="00AE0EE2">
      <w:pPr>
        <w:tabs>
          <w:tab w:val="left" w:pos="8460"/>
        </w:tabs>
        <w:rPr>
          <w:rFonts w:ascii="Garamond" w:hAnsi="Garamond" w:cs="Times New Roman"/>
          <w:sz w:val="23"/>
          <w:szCs w:val="23"/>
          <w:lang w:val="en-US"/>
        </w:rPr>
      </w:pPr>
      <w:r w:rsidRPr="00AE0EE2">
        <w:rPr>
          <w:rFonts w:ascii="Garamond" w:hAnsi="Garamond" w:cs="Times New Roman"/>
          <w:sz w:val="23"/>
          <w:szCs w:val="23"/>
          <w:lang w:val="en-US"/>
        </w:rPr>
        <w:t>Monitoring Findings</w:t>
      </w:r>
      <w:r w:rsidR="00D41F65">
        <w:rPr>
          <w:rFonts w:ascii="Garamond" w:hAnsi="Garamond" w:cs="Times New Roman"/>
          <w:sz w:val="23"/>
          <w:szCs w:val="23"/>
          <w:lang w:val="en-US"/>
        </w:rPr>
        <w:t>……………………………………</w:t>
      </w:r>
      <w:r w:rsidR="00AE0EE2" w:rsidRPr="00AE0EE2">
        <w:rPr>
          <w:rFonts w:ascii="Garamond" w:hAnsi="Garamond" w:cs="Times New Roman"/>
          <w:sz w:val="23"/>
          <w:szCs w:val="23"/>
          <w:lang w:val="en-US"/>
        </w:rPr>
        <w:t>……………………………………..</w:t>
      </w:r>
      <w:r w:rsidRPr="00AE0EE2">
        <w:rPr>
          <w:rFonts w:ascii="Garamond" w:hAnsi="Garamond" w:cs="Times New Roman"/>
          <w:sz w:val="23"/>
          <w:szCs w:val="23"/>
          <w:lang w:val="en-US"/>
        </w:rPr>
        <w:tab/>
        <w:t>8</w:t>
      </w:r>
    </w:p>
    <w:p w14:paraId="098FF319" w14:textId="77777777" w:rsidR="00604156" w:rsidRPr="00AE0EE2" w:rsidRDefault="00604156" w:rsidP="00AE0EE2">
      <w:pPr>
        <w:tabs>
          <w:tab w:val="left" w:pos="8370"/>
        </w:tabs>
        <w:rPr>
          <w:rFonts w:ascii="Garamond" w:hAnsi="Garamond" w:cs="Times New Roman"/>
          <w:sz w:val="23"/>
          <w:szCs w:val="23"/>
          <w:lang w:val="en-US"/>
        </w:rPr>
      </w:pPr>
      <w:r w:rsidRPr="00AE0EE2">
        <w:rPr>
          <w:rFonts w:ascii="Garamond" w:hAnsi="Garamond" w:cs="Times New Roman"/>
          <w:sz w:val="23"/>
          <w:szCs w:val="23"/>
          <w:lang w:val="en-US"/>
        </w:rPr>
        <w:t>Conclusion</w:t>
      </w:r>
      <w:r w:rsidR="00D41F65">
        <w:rPr>
          <w:rFonts w:ascii="Garamond" w:hAnsi="Garamond" w:cs="Times New Roman"/>
          <w:sz w:val="23"/>
          <w:szCs w:val="23"/>
          <w:lang w:val="en-US"/>
        </w:rPr>
        <w:t>……</w:t>
      </w:r>
      <w:r w:rsidR="00AE0EE2" w:rsidRPr="00AE0EE2">
        <w:rPr>
          <w:rFonts w:ascii="Garamond" w:hAnsi="Garamond" w:cs="Times New Roman"/>
          <w:sz w:val="23"/>
          <w:szCs w:val="23"/>
          <w:lang w:val="en-US"/>
        </w:rPr>
        <w:t>…………………………………………………………………………….</w:t>
      </w:r>
      <w:r w:rsidR="00D41F65">
        <w:rPr>
          <w:rFonts w:ascii="Garamond" w:hAnsi="Garamond" w:cs="Times New Roman"/>
          <w:sz w:val="23"/>
          <w:szCs w:val="23"/>
          <w:lang w:val="en-US"/>
        </w:rPr>
        <w:t>..</w:t>
      </w:r>
      <w:r w:rsidR="00AE0EE2" w:rsidRPr="00AE0EE2">
        <w:rPr>
          <w:rFonts w:ascii="Garamond" w:hAnsi="Garamond" w:cs="Times New Roman"/>
          <w:sz w:val="23"/>
          <w:szCs w:val="23"/>
          <w:lang w:val="en-US"/>
        </w:rPr>
        <w:tab/>
        <w:t>14</w:t>
      </w:r>
    </w:p>
    <w:p w14:paraId="726DCBD6" w14:textId="77777777" w:rsidR="00DA55FA" w:rsidRPr="00AE0EE2" w:rsidRDefault="00DA55FA" w:rsidP="00C16AA4">
      <w:pPr>
        <w:rPr>
          <w:rFonts w:ascii="Garamond" w:hAnsi="Garamond" w:cs="Times New Roman"/>
          <w:sz w:val="23"/>
          <w:szCs w:val="23"/>
          <w:lang w:val="en-US"/>
        </w:rPr>
      </w:pPr>
    </w:p>
    <w:p w14:paraId="7931D510" w14:textId="77777777" w:rsidR="00DA55FA" w:rsidRPr="00AE0EE2" w:rsidRDefault="00DA55FA" w:rsidP="00C16AA4">
      <w:pPr>
        <w:rPr>
          <w:rFonts w:ascii="Garamond" w:hAnsi="Garamond" w:cs="Times New Roman"/>
          <w:sz w:val="23"/>
          <w:szCs w:val="23"/>
          <w:lang w:val="en-US"/>
        </w:rPr>
      </w:pPr>
    </w:p>
    <w:p w14:paraId="07C7BEA0" w14:textId="77777777" w:rsidR="00DA55FA" w:rsidRPr="00AE0EE2" w:rsidRDefault="00DA55FA" w:rsidP="00C16AA4">
      <w:pPr>
        <w:rPr>
          <w:rFonts w:ascii="Garamond" w:hAnsi="Garamond" w:cs="Times New Roman"/>
          <w:sz w:val="23"/>
          <w:szCs w:val="23"/>
          <w:lang w:val="en-US"/>
        </w:rPr>
      </w:pPr>
    </w:p>
    <w:p w14:paraId="14E8C4B0" w14:textId="77777777" w:rsidR="00DA55FA" w:rsidRPr="00AE0EE2" w:rsidRDefault="00DA55FA" w:rsidP="00C16AA4">
      <w:pPr>
        <w:rPr>
          <w:rFonts w:ascii="Garamond" w:hAnsi="Garamond" w:cs="Times New Roman"/>
          <w:sz w:val="23"/>
          <w:szCs w:val="23"/>
          <w:lang w:val="en-US"/>
        </w:rPr>
      </w:pPr>
    </w:p>
    <w:p w14:paraId="40CE4F22" w14:textId="77777777" w:rsidR="00DA55FA" w:rsidRPr="00AE0EE2" w:rsidRDefault="00DA55FA" w:rsidP="00C16AA4">
      <w:pPr>
        <w:rPr>
          <w:rFonts w:ascii="Garamond" w:hAnsi="Garamond" w:cs="Times New Roman"/>
          <w:sz w:val="23"/>
          <w:szCs w:val="23"/>
          <w:lang w:val="en-US"/>
        </w:rPr>
      </w:pPr>
    </w:p>
    <w:p w14:paraId="45BE91DC" w14:textId="77777777" w:rsidR="00DA55FA" w:rsidRPr="00AE0EE2" w:rsidRDefault="00DA55FA" w:rsidP="00C16AA4">
      <w:pPr>
        <w:rPr>
          <w:rFonts w:ascii="Garamond" w:hAnsi="Garamond" w:cs="Times New Roman"/>
          <w:sz w:val="23"/>
          <w:szCs w:val="23"/>
          <w:lang w:val="en-US"/>
        </w:rPr>
      </w:pPr>
    </w:p>
    <w:p w14:paraId="3AEE7BD7" w14:textId="77777777" w:rsidR="00DA55FA" w:rsidRPr="00AE0EE2" w:rsidRDefault="00DA55FA" w:rsidP="00C16AA4">
      <w:pPr>
        <w:rPr>
          <w:rFonts w:ascii="Garamond" w:hAnsi="Garamond" w:cs="Times New Roman"/>
          <w:sz w:val="23"/>
          <w:szCs w:val="23"/>
          <w:lang w:val="en-US"/>
        </w:rPr>
      </w:pPr>
    </w:p>
    <w:p w14:paraId="6A11B58E" w14:textId="77777777" w:rsidR="00DA55FA" w:rsidRPr="00AE0EE2" w:rsidRDefault="00DA55FA" w:rsidP="00C16AA4">
      <w:pPr>
        <w:rPr>
          <w:rFonts w:ascii="Garamond" w:hAnsi="Garamond" w:cs="Times New Roman"/>
          <w:sz w:val="23"/>
          <w:szCs w:val="23"/>
          <w:lang w:val="en-US"/>
        </w:rPr>
      </w:pPr>
    </w:p>
    <w:p w14:paraId="446EE93E" w14:textId="77777777" w:rsidR="00DA55FA" w:rsidRPr="00AE0EE2" w:rsidRDefault="00DA55FA" w:rsidP="00C16AA4">
      <w:pPr>
        <w:rPr>
          <w:rFonts w:ascii="Garamond" w:hAnsi="Garamond" w:cs="Times New Roman"/>
          <w:sz w:val="23"/>
          <w:szCs w:val="23"/>
          <w:lang w:val="en-US"/>
        </w:rPr>
      </w:pPr>
    </w:p>
    <w:p w14:paraId="6DF6D580" w14:textId="77777777" w:rsidR="00DA55FA" w:rsidRPr="00AE0EE2" w:rsidRDefault="00DA55FA" w:rsidP="00C16AA4">
      <w:pPr>
        <w:rPr>
          <w:rFonts w:ascii="Garamond" w:hAnsi="Garamond" w:cs="Times New Roman"/>
          <w:sz w:val="23"/>
          <w:szCs w:val="23"/>
          <w:lang w:val="en-US"/>
        </w:rPr>
      </w:pPr>
    </w:p>
    <w:p w14:paraId="31697182" w14:textId="77777777" w:rsidR="00DA55FA" w:rsidRPr="00AE0EE2" w:rsidRDefault="00DA55FA" w:rsidP="00C16AA4">
      <w:pPr>
        <w:rPr>
          <w:rFonts w:ascii="Garamond" w:hAnsi="Garamond" w:cs="Times New Roman"/>
          <w:sz w:val="23"/>
          <w:szCs w:val="23"/>
          <w:lang w:val="en-US"/>
        </w:rPr>
      </w:pPr>
    </w:p>
    <w:p w14:paraId="3534522F" w14:textId="77777777" w:rsidR="00DA55FA" w:rsidRPr="00AE0EE2" w:rsidRDefault="00DA55FA" w:rsidP="00C16AA4">
      <w:pPr>
        <w:rPr>
          <w:rFonts w:ascii="Garamond" w:hAnsi="Garamond" w:cs="Times New Roman"/>
          <w:sz w:val="23"/>
          <w:szCs w:val="23"/>
          <w:lang w:val="en-US"/>
        </w:rPr>
      </w:pPr>
    </w:p>
    <w:p w14:paraId="33419344" w14:textId="77777777" w:rsidR="00DA55FA" w:rsidRPr="00AE0EE2" w:rsidRDefault="00DA55FA" w:rsidP="00C16AA4">
      <w:pPr>
        <w:rPr>
          <w:rFonts w:ascii="Garamond" w:hAnsi="Garamond" w:cs="Times New Roman"/>
          <w:sz w:val="23"/>
          <w:szCs w:val="23"/>
          <w:lang w:val="en-US"/>
        </w:rPr>
      </w:pPr>
    </w:p>
    <w:p w14:paraId="75BB6866" w14:textId="77777777" w:rsidR="00DA55FA" w:rsidRPr="00AE0EE2" w:rsidRDefault="00DA55FA" w:rsidP="00C16AA4">
      <w:pPr>
        <w:rPr>
          <w:rFonts w:ascii="Garamond" w:hAnsi="Garamond" w:cs="Times New Roman"/>
          <w:sz w:val="23"/>
          <w:szCs w:val="23"/>
          <w:lang w:val="en-US"/>
        </w:rPr>
      </w:pPr>
    </w:p>
    <w:p w14:paraId="31A102F2" w14:textId="77777777" w:rsidR="00DA55FA" w:rsidRPr="00AE0EE2" w:rsidRDefault="00DA55FA" w:rsidP="00C16AA4">
      <w:pPr>
        <w:rPr>
          <w:rFonts w:ascii="Garamond" w:hAnsi="Garamond" w:cs="Times New Roman"/>
          <w:sz w:val="23"/>
          <w:szCs w:val="23"/>
          <w:lang w:val="en-US"/>
        </w:rPr>
      </w:pPr>
    </w:p>
    <w:p w14:paraId="08FADB5A" w14:textId="77777777" w:rsidR="00DA55FA" w:rsidRPr="00AE0EE2" w:rsidRDefault="00DA55FA" w:rsidP="00C16AA4">
      <w:pPr>
        <w:rPr>
          <w:rFonts w:ascii="Garamond" w:hAnsi="Garamond" w:cs="Times New Roman"/>
          <w:sz w:val="23"/>
          <w:szCs w:val="23"/>
          <w:lang w:val="en-US"/>
        </w:rPr>
      </w:pPr>
    </w:p>
    <w:p w14:paraId="1ABDD295" w14:textId="77777777" w:rsidR="00DA55FA" w:rsidRPr="00AE0EE2" w:rsidRDefault="00DA55FA" w:rsidP="00C16AA4">
      <w:pPr>
        <w:rPr>
          <w:rFonts w:ascii="Garamond" w:hAnsi="Garamond" w:cs="Times New Roman"/>
          <w:sz w:val="23"/>
          <w:szCs w:val="23"/>
          <w:lang w:val="en-US"/>
        </w:rPr>
      </w:pPr>
    </w:p>
    <w:p w14:paraId="7F444B28" w14:textId="77777777" w:rsidR="00DA55FA" w:rsidRPr="00AE0EE2" w:rsidRDefault="00DA55FA" w:rsidP="00C16AA4">
      <w:pPr>
        <w:rPr>
          <w:rFonts w:ascii="Garamond" w:hAnsi="Garamond" w:cs="Times New Roman"/>
          <w:sz w:val="23"/>
          <w:szCs w:val="23"/>
          <w:lang w:val="en-US"/>
        </w:rPr>
      </w:pPr>
    </w:p>
    <w:p w14:paraId="7A044419" w14:textId="77777777" w:rsidR="00DA55FA" w:rsidRPr="00AE0EE2" w:rsidRDefault="00DA55FA" w:rsidP="00C16AA4">
      <w:pPr>
        <w:rPr>
          <w:rFonts w:ascii="Garamond" w:hAnsi="Garamond" w:cs="Times New Roman"/>
          <w:sz w:val="23"/>
          <w:szCs w:val="23"/>
          <w:lang w:val="en-US"/>
        </w:rPr>
      </w:pPr>
    </w:p>
    <w:p w14:paraId="10B57BFB" w14:textId="77777777" w:rsidR="00DA55FA" w:rsidRPr="00D41F65" w:rsidRDefault="00604156" w:rsidP="00604156">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Introduction</w:t>
      </w:r>
    </w:p>
    <w:p w14:paraId="1D61FA44" w14:textId="77777777" w:rsidR="00B81E8F" w:rsidRPr="00AE0EE2" w:rsidRDefault="00B81E8F" w:rsidP="00C16AA4">
      <w:pPr>
        <w:rPr>
          <w:rFonts w:ascii="Garamond" w:hAnsi="Garamond" w:cs="Times New Roman"/>
          <w:sz w:val="23"/>
          <w:szCs w:val="23"/>
          <w:lang w:val="en-US"/>
        </w:rPr>
      </w:pPr>
      <w:r w:rsidRPr="00AE0EE2">
        <w:rPr>
          <w:rFonts w:ascii="Garamond" w:hAnsi="Garamond" w:cs="Times New Roman"/>
          <w:sz w:val="23"/>
          <w:szCs w:val="23"/>
          <w:lang w:val="en-US"/>
        </w:rPr>
        <w:t>In Turkey,</w:t>
      </w:r>
      <w:r w:rsidR="00C16AA4" w:rsidRPr="00AE0EE2">
        <w:rPr>
          <w:rFonts w:ascii="Garamond" w:hAnsi="Garamond" w:cs="Times New Roman"/>
          <w:sz w:val="23"/>
          <w:szCs w:val="23"/>
          <w:lang w:val="en-US"/>
        </w:rPr>
        <w:t xml:space="preserve"> avenues for the defense of human rights</w:t>
      </w:r>
      <w:r w:rsidRPr="00AE0EE2">
        <w:rPr>
          <w:rFonts w:ascii="Garamond" w:hAnsi="Garamond" w:cs="Times New Roman"/>
          <w:sz w:val="23"/>
          <w:szCs w:val="23"/>
          <w:lang w:val="en-US"/>
        </w:rPr>
        <w:t xml:space="preserve"> and civil liberties</w:t>
      </w:r>
      <w:r w:rsidR="00C16AA4" w:rsidRPr="00AE0EE2">
        <w:rPr>
          <w:rFonts w:ascii="Garamond" w:hAnsi="Garamond" w:cs="Times New Roman"/>
          <w:sz w:val="23"/>
          <w:szCs w:val="23"/>
          <w:lang w:val="en-US"/>
        </w:rPr>
        <w:t xml:space="preserve"> are being increasingly inaccessible to activists, </w:t>
      </w:r>
      <w:r w:rsidRPr="00AE0EE2">
        <w:rPr>
          <w:rFonts w:ascii="Garamond" w:hAnsi="Garamond" w:cs="Times New Roman"/>
          <w:sz w:val="23"/>
          <w:szCs w:val="23"/>
          <w:lang w:val="en-US"/>
        </w:rPr>
        <w:t xml:space="preserve">due to the increasing </w:t>
      </w:r>
      <w:r w:rsidR="00F139DC" w:rsidRPr="00AE0EE2">
        <w:rPr>
          <w:rFonts w:ascii="Garamond" w:hAnsi="Garamond" w:cs="Times New Roman"/>
          <w:sz w:val="23"/>
          <w:szCs w:val="23"/>
          <w:lang w:val="en-US"/>
        </w:rPr>
        <w:t>p</w:t>
      </w:r>
      <w:r w:rsidRPr="00AE0EE2">
        <w:rPr>
          <w:rFonts w:ascii="Garamond" w:hAnsi="Garamond" w:cs="Times New Roman"/>
          <w:sz w:val="23"/>
          <w:szCs w:val="23"/>
          <w:lang w:val="en-US"/>
        </w:rPr>
        <w:t>olitical p</w:t>
      </w:r>
      <w:r w:rsidR="00F139DC" w:rsidRPr="00AE0EE2">
        <w:rPr>
          <w:rFonts w:ascii="Garamond" w:hAnsi="Garamond" w:cs="Times New Roman"/>
          <w:sz w:val="23"/>
          <w:szCs w:val="23"/>
          <w:lang w:val="en-US"/>
        </w:rPr>
        <w:t xml:space="preserve">olarization in the country, coupled with the State of Emergency entering its fifth month. There are problem areas in all </w:t>
      </w:r>
      <w:r w:rsidRPr="00AE0EE2">
        <w:rPr>
          <w:rFonts w:ascii="Garamond" w:hAnsi="Garamond" w:cs="Times New Roman"/>
          <w:sz w:val="23"/>
          <w:szCs w:val="23"/>
          <w:lang w:val="en-US"/>
        </w:rPr>
        <w:t>democratic checks and balances</w:t>
      </w:r>
      <w:r w:rsidR="00F139DC" w:rsidRPr="00AE0EE2">
        <w:rPr>
          <w:rFonts w:ascii="Garamond" w:hAnsi="Garamond" w:cs="Times New Roman"/>
          <w:sz w:val="23"/>
          <w:szCs w:val="23"/>
          <w:lang w:val="en-US"/>
        </w:rPr>
        <w:t xml:space="preserve">, from the </w:t>
      </w:r>
      <w:r w:rsidRPr="00AE0EE2">
        <w:rPr>
          <w:rFonts w:ascii="Garamond" w:hAnsi="Garamond" w:cs="Times New Roman"/>
          <w:sz w:val="23"/>
          <w:szCs w:val="23"/>
          <w:lang w:val="en-US"/>
        </w:rPr>
        <w:t xml:space="preserve">eroding </w:t>
      </w:r>
      <w:r w:rsidR="00F139DC" w:rsidRPr="00AE0EE2">
        <w:rPr>
          <w:rFonts w:ascii="Garamond" w:hAnsi="Garamond" w:cs="Times New Roman"/>
          <w:sz w:val="23"/>
          <w:szCs w:val="23"/>
          <w:lang w:val="en-US"/>
        </w:rPr>
        <w:t xml:space="preserve">independence of the judiciary to the jailing </w:t>
      </w:r>
      <w:r w:rsidRPr="00AE0EE2">
        <w:rPr>
          <w:rFonts w:ascii="Garamond" w:hAnsi="Garamond" w:cs="Times New Roman"/>
          <w:sz w:val="23"/>
          <w:szCs w:val="23"/>
          <w:lang w:val="en-US"/>
        </w:rPr>
        <w:t>of opposition journalists. An ongoing civil war leading to civilian curfews</w:t>
      </w:r>
      <w:r w:rsidR="00F139DC" w:rsidRPr="00AE0EE2">
        <w:rPr>
          <w:rFonts w:ascii="Garamond" w:hAnsi="Garamond" w:cs="Times New Roman"/>
          <w:sz w:val="23"/>
          <w:szCs w:val="23"/>
          <w:lang w:val="en-US"/>
        </w:rPr>
        <w:t>, spillover from the Syrian civil war, the arrest of democratically elected Parliamentarians and local authorities, and trustees appointed to local governments</w:t>
      </w:r>
      <w:r w:rsidRPr="00AE0EE2">
        <w:rPr>
          <w:rFonts w:ascii="Garamond" w:hAnsi="Garamond" w:cs="Times New Roman"/>
          <w:sz w:val="23"/>
          <w:szCs w:val="23"/>
          <w:lang w:val="en-US"/>
        </w:rPr>
        <w:t xml:space="preserve"> are creating new sentiments in the public, and new reasons for protest.</w:t>
      </w:r>
    </w:p>
    <w:p w14:paraId="52CAD161" w14:textId="77777777" w:rsidR="00C16AA4" w:rsidRPr="00AE0EE2" w:rsidRDefault="00B81E8F" w:rsidP="00C16AA4">
      <w:pPr>
        <w:rPr>
          <w:rFonts w:ascii="Garamond" w:hAnsi="Garamond" w:cs="Times New Roman"/>
          <w:sz w:val="23"/>
          <w:szCs w:val="23"/>
          <w:lang w:val="en-US"/>
        </w:rPr>
      </w:pPr>
      <w:r w:rsidRPr="00AE0EE2">
        <w:rPr>
          <w:rFonts w:ascii="Garamond" w:hAnsi="Garamond" w:cs="Times New Roman"/>
          <w:sz w:val="23"/>
          <w:szCs w:val="23"/>
          <w:lang w:val="en-US"/>
        </w:rPr>
        <w:t xml:space="preserve">Concurrently, </w:t>
      </w:r>
      <w:r w:rsidR="00E219C2" w:rsidRPr="00AE0EE2">
        <w:rPr>
          <w:rFonts w:ascii="Garamond" w:hAnsi="Garamond" w:cs="Times New Roman"/>
          <w:sz w:val="23"/>
          <w:szCs w:val="23"/>
          <w:lang w:val="en-US"/>
        </w:rPr>
        <w:t xml:space="preserve">dissent is being suppressed in all platforms, from civil to political to economic, for the goal of national unity. Rights violations are being justified by security concerns or societal calm when plurality of thought is most direly needed. A new constitution is being proposed </w:t>
      </w:r>
      <w:r w:rsidRPr="00AE0EE2">
        <w:rPr>
          <w:rFonts w:ascii="Garamond" w:hAnsi="Garamond" w:cs="Times New Roman"/>
          <w:sz w:val="23"/>
          <w:szCs w:val="23"/>
          <w:lang w:val="en-US"/>
        </w:rPr>
        <w:t xml:space="preserve">to the Parliament </w:t>
      </w:r>
      <w:r w:rsidR="00E219C2" w:rsidRPr="00AE0EE2">
        <w:rPr>
          <w:rFonts w:ascii="Garamond" w:hAnsi="Garamond" w:cs="Times New Roman"/>
          <w:sz w:val="23"/>
          <w:szCs w:val="23"/>
          <w:lang w:val="en-US"/>
        </w:rPr>
        <w:t>by the government, death penalty is back on the table a decade</w:t>
      </w:r>
      <w:r w:rsidRPr="00AE0EE2">
        <w:rPr>
          <w:rFonts w:ascii="Garamond" w:hAnsi="Garamond" w:cs="Times New Roman"/>
          <w:sz w:val="23"/>
          <w:szCs w:val="23"/>
          <w:lang w:val="en-US"/>
        </w:rPr>
        <w:t xml:space="preserve"> after its abolishment</w:t>
      </w:r>
      <w:r w:rsidR="00E219C2" w:rsidRPr="00AE0EE2">
        <w:rPr>
          <w:rFonts w:ascii="Garamond" w:hAnsi="Garamond" w:cs="Times New Roman"/>
          <w:sz w:val="23"/>
          <w:szCs w:val="23"/>
          <w:lang w:val="en-US"/>
        </w:rPr>
        <w:t>, and relations with the EU have come t</w:t>
      </w:r>
      <w:r w:rsidR="008B513C" w:rsidRPr="00AE0EE2">
        <w:rPr>
          <w:rFonts w:ascii="Garamond" w:hAnsi="Garamond" w:cs="Times New Roman"/>
          <w:sz w:val="23"/>
          <w:szCs w:val="23"/>
          <w:lang w:val="en-US"/>
        </w:rPr>
        <w:t xml:space="preserve">o a halt. In this environment, the right to peaceful assembly is a crucial tool through which societal tensions can be relieved, and political speech can be expressed. However, the monitoring activities have demonstrated that freedom of peaceful assembly is being </w:t>
      </w:r>
      <w:r w:rsidR="00DA55FA" w:rsidRPr="00AE0EE2">
        <w:rPr>
          <w:rFonts w:ascii="Garamond" w:hAnsi="Garamond" w:cs="Times New Roman"/>
          <w:sz w:val="23"/>
          <w:szCs w:val="23"/>
          <w:lang w:val="en-US"/>
        </w:rPr>
        <w:t>restricted</w:t>
      </w:r>
      <w:r w:rsidR="008B513C" w:rsidRPr="00AE0EE2">
        <w:rPr>
          <w:rFonts w:ascii="Garamond" w:hAnsi="Garamond" w:cs="Times New Roman"/>
          <w:sz w:val="23"/>
          <w:szCs w:val="23"/>
          <w:lang w:val="en-US"/>
        </w:rPr>
        <w:t xml:space="preserve"> with extensive force, and a double standard is applied to the right acco</w:t>
      </w:r>
      <w:r w:rsidR="00DA55FA" w:rsidRPr="00AE0EE2">
        <w:rPr>
          <w:rFonts w:ascii="Garamond" w:hAnsi="Garamond" w:cs="Times New Roman"/>
          <w:sz w:val="23"/>
          <w:szCs w:val="23"/>
          <w:lang w:val="en-US"/>
        </w:rPr>
        <w:t>rding to the political side of the protesters</w:t>
      </w:r>
      <w:r w:rsidR="008B513C" w:rsidRPr="00AE0EE2">
        <w:rPr>
          <w:rFonts w:ascii="Garamond" w:hAnsi="Garamond" w:cs="Times New Roman"/>
          <w:sz w:val="23"/>
          <w:szCs w:val="23"/>
          <w:lang w:val="en-US"/>
        </w:rPr>
        <w:t>.</w:t>
      </w:r>
      <w:r w:rsidR="00F85984" w:rsidRPr="00AE0EE2">
        <w:rPr>
          <w:rFonts w:ascii="Garamond" w:hAnsi="Garamond" w:cs="Times New Roman"/>
          <w:sz w:val="23"/>
          <w:szCs w:val="23"/>
          <w:lang w:val="en-US"/>
        </w:rPr>
        <w:t xml:space="preserve"> </w:t>
      </w:r>
      <w:r w:rsidRPr="00AE0EE2">
        <w:rPr>
          <w:rFonts w:ascii="Garamond" w:hAnsi="Garamond" w:cs="Times New Roman"/>
          <w:sz w:val="23"/>
          <w:szCs w:val="23"/>
          <w:lang w:val="en-US"/>
        </w:rPr>
        <w:t xml:space="preserve">As the democracy in Turkey is being reduced to </w:t>
      </w:r>
      <w:proofErr w:type="spellStart"/>
      <w:r w:rsidRPr="00AE0EE2">
        <w:rPr>
          <w:rFonts w:ascii="Garamond" w:hAnsi="Garamond" w:cs="Times New Roman"/>
          <w:sz w:val="23"/>
          <w:szCs w:val="23"/>
          <w:lang w:val="en-US"/>
        </w:rPr>
        <w:t>majoritarianism</w:t>
      </w:r>
      <w:proofErr w:type="spellEnd"/>
      <w:r w:rsidRPr="00AE0EE2">
        <w:rPr>
          <w:rFonts w:ascii="Garamond" w:hAnsi="Garamond" w:cs="Times New Roman"/>
          <w:sz w:val="23"/>
          <w:szCs w:val="23"/>
          <w:lang w:val="en-US"/>
        </w:rPr>
        <w:t xml:space="preserve"> and the ballot box, </w:t>
      </w:r>
      <w:r w:rsidR="00DA55FA" w:rsidRPr="00AE0EE2">
        <w:rPr>
          <w:rFonts w:ascii="Garamond" w:hAnsi="Garamond" w:cs="Times New Roman"/>
          <w:sz w:val="23"/>
          <w:szCs w:val="23"/>
          <w:lang w:val="en-US"/>
        </w:rPr>
        <w:t xml:space="preserve">those of minority status or opinion are being stripped of internationally protected rights of expression. </w:t>
      </w:r>
    </w:p>
    <w:p w14:paraId="49CF4570" w14:textId="77777777" w:rsidR="00DA55FA" w:rsidRPr="00AE0EE2" w:rsidRDefault="00604156" w:rsidP="00C16AA4">
      <w:pPr>
        <w:rPr>
          <w:rFonts w:ascii="Garamond" w:hAnsi="Garamond" w:cs="Times New Roman"/>
          <w:b/>
          <w:sz w:val="23"/>
          <w:szCs w:val="23"/>
          <w:lang w:val="en-US"/>
        </w:rPr>
      </w:pPr>
      <w:r w:rsidRPr="00AE0EE2">
        <w:rPr>
          <w:rFonts w:ascii="Garamond" w:hAnsi="Garamond" w:cs="Times New Roman"/>
          <w:b/>
          <w:sz w:val="23"/>
          <w:szCs w:val="23"/>
          <w:lang w:val="en-US"/>
        </w:rPr>
        <w:t>During the monitoring period, AMER has established five problem areas to be addressed in the use of freedom of peaceful assembly in Turkey.</w:t>
      </w:r>
    </w:p>
    <w:p w14:paraId="2FA7B34E" w14:textId="77777777" w:rsidR="00DA55FA" w:rsidRPr="00AE0EE2" w:rsidRDefault="00604156" w:rsidP="00C16AA4">
      <w:pPr>
        <w:pStyle w:val="ListParagraph"/>
        <w:numPr>
          <w:ilvl w:val="0"/>
          <w:numId w:val="2"/>
        </w:numPr>
        <w:rPr>
          <w:rFonts w:ascii="Garamond" w:hAnsi="Garamond" w:cs="Times New Roman"/>
          <w:sz w:val="23"/>
          <w:szCs w:val="23"/>
          <w:lang w:val="en-US"/>
        </w:rPr>
      </w:pPr>
      <w:r w:rsidRPr="00AE0EE2">
        <w:rPr>
          <w:rFonts w:ascii="Garamond" w:hAnsi="Garamond" w:cs="Times New Roman"/>
          <w:sz w:val="23"/>
          <w:szCs w:val="23"/>
          <w:lang w:val="en-US"/>
        </w:rPr>
        <w:t>The national laws regulating freedom of assembly in Turkey are incompatible with international standards.</w:t>
      </w:r>
    </w:p>
    <w:p w14:paraId="4F96741A" w14:textId="77777777" w:rsidR="00604156" w:rsidRPr="00AE0EE2" w:rsidRDefault="00604156" w:rsidP="00604156">
      <w:pPr>
        <w:pStyle w:val="ListParagraph"/>
        <w:numPr>
          <w:ilvl w:val="0"/>
          <w:numId w:val="2"/>
        </w:numPr>
        <w:rPr>
          <w:rFonts w:ascii="Garamond" w:hAnsi="Garamond" w:cs="Times New Roman"/>
          <w:sz w:val="23"/>
          <w:szCs w:val="23"/>
          <w:lang w:val="en-US"/>
        </w:rPr>
      </w:pPr>
      <w:r w:rsidRPr="00AE0EE2">
        <w:rPr>
          <w:rFonts w:ascii="Garamond" w:hAnsi="Garamond" w:cs="Times New Roman"/>
          <w:sz w:val="23"/>
          <w:szCs w:val="23"/>
          <w:lang w:val="en-US"/>
        </w:rPr>
        <w:t>The discretionary powers of public authorities are too broad and overarching</w:t>
      </w:r>
    </w:p>
    <w:p w14:paraId="59F0EF32" w14:textId="77777777" w:rsidR="00604156" w:rsidRPr="00AE0EE2" w:rsidRDefault="00604156" w:rsidP="00604156">
      <w:pPr>
        <w:pStyle w:val="ListParagraph"/>
        <w:numPr>
          <w:ilvl w:val="0"/>
          <w:numId w:val="2"/>
        </w:numPr>
        <w:rPr>
          <w:rFonts w:ascii="Garamond" w:hAnsi="Garamond" w:cs="Times New Roman"/>
          <w:sz w:val="23"/>
          <w:szCs w:val="23"/>
          <w:lang w:val="en-US"/>
        </w:rPr>
      </w:pPr>
      <w:r w:rsidRPr="00AE0EE2">
        <w:rPr>
          <w:rFonts w:ascii="Garamond" w:hAnsi="Garamond" w:cs="Times New Roman"/>
          <w:sz w:val="23"/>
          <w:szCs w:val="23"/>
          <w:lang w:val="en-US"/>
        </w:rPr>
        <w:t>The use of excessive force by security forces is too common</w:t>
      </w:r>
    </w:p>
    <w:p w14:paraId="0B1544A2" w14:textId="77777777" w:rsidR="00604156" w:rsidRPr="00AE0EE2" w:rsidRDefault="00604156" w:rsidP="00604156">
      <w:pPr>
        <w:pStyle w:val="ListParagraph"/>
        <w:numPr>
          <w:ilvl w:val="0"/>
          <w:numId w:val="2"/>
        </w:numPr>
        <w:rPr>
          <w:rFonts w:ascii="Garamond" w:hAnsi="Garamond" w:cs="Times New Roman"/>
          <w:sz w:val="23"/>
          <w:szCs w:val="23"/>
          <w:lang w:val="en-US"/>
        </w:rPr>
      </w:pPr>
      <w:r w:rsidRPr="00AE0EE2">
        <w:rPr>
          <w:rFonts w:ascii="Garamond" w:hAnsi="Garamond" w:cs="Times New Roman"/>
          <w:sz w:val="23"/>
          <w:szCs w:val="23"/>
          <w:lang w:val="en-US"/>
        </w:rPr>
        <w:t xml:space="preserve">Charges directed against those detained in assemblies are exaggerated </w:t>
      </w:r>
    </w:p>
    <w:p w14:paraId="49F6AACE" w14:textId="77777777" w:rsidR="00604156" w:rsidRPr="00AE0EE2" w:rsidRDefault="00604156" w:rsidP="00604156">
      <w:pPr>
        <w:pStyle w:val="ListParagraph"/>
        <w:numPr>
          <w:ilvl w:val="0"/>
          <w:numId w:val="2"/>
        </w:numPr>
        <w:rPr>
          <w:rFonts w:ascii="Garamond" w:hAnsi="Garamond" w:cs="Times New Roman"/>
          <w:sz w:val="23"/>
          <w:szCs w:val="23"/>
          <w:lang w:val="en-US"/>
        </w:rPr>
      </w:pPr>
      <w:r w:rsidRPr="00AE0EE2">
        <w:rPr>
          <w:rFonts w:ascii="Garamond" w:hAnsi="Garamond" w:cs="Times New Roman"/>
          <w:sz w:val="23"/>
          <w:szCs w:val="23"/>
          <w:lang w:val="en-US"/>
        </w:rPr>
        <w:t>There is discriminatory treatment in how public authorities and security forces recognize the right to peaceful assembly.</w:t>
      </w:r>
    </w:p>
    <w:p w14:paraId="17038445" w14:textId="77777777" w:rsidR="00604156" w:rsidRPr="00AE0EE2" w:rsidRDefault="00604156" w:rsidP="00604156">
      <w:pPr>
        <w:pStyle w:val="ListParagraph"/>
        <w:rPr>
          <w:rFonts w:ascii="Garamond" w:hAnsi="Garamond" w:cs="Times New Roman"/>
          <w:sz w:val="23"/>
          <w:szCs w:val="23"/>
          <w:lang w:val="en-US"/>
        </w:rPr>
      </w:pPr>
    </w:p>
    <w:p w14:paraId="7CF5FFF6" w14:textId="77777777" w:rsidR="00DA55FA" w:rsidRPr="00AE0EE2" w:rsidRDefault="00DA55FA" w:rsidP="00C16AA4">
      <w:pPr>
        <w:rPr>
          <w:rFonts w:ascii="Garamond" w:hAnsi="Garamond" w:cs="Times New Roman"/>
          <w:b/>
          <w:sz w:val="23"/>
          <w:szCs w:val="23"/>
          <w:lang w:val="en-US"/>
        </w:rPr>
      </w:pPr>
    </w:p>
    <w:p w14:paraId="046989B7" w14:textId="77777777" w:rsidR="00DA55FA" w:rsidRPr="00AE0EE2" w:rsidRDefault="00DA55FA" w:rsidP="00C16AA4">
      <w:pPr>
        <w:rPr>
          <w:rFonts w:ascii="Garamond" w:hAnsi="Garamond" w:cs="Times New Roman"/>
          <w:b/>
          <w:sz w:val="23"/>
          <w:szCs w:val="23"/>
          <w:lang w:val="en-US"/>
        </w:rPr>
      </w:pPr>
    </w:p>
    <w:p w14:paraId="5FD4E302" w14:textId="77777777" w:rsidR="00DA55FA" w:rsidRPr="00AE0EE2" w:rsidRDefault="00DA55FA" w:rsidP="00C16AA4">
      <w:pPr>
        <w:rPr>
          <w:rFonts w:ascii="Garamond" w:hAnsi="Garamond" w:cs="Times New Roman"/>
          <w:b/>
          <w:sz w:val="23"/>
          <w:szCs w:val="23"/>
          <w:lang w:val="en-US"/>
        </w:rPr>
      </w:pPr>
    </w:p>
    <w:p w14:paraId="0515A00B" w14:textId="77777777" w:rsidR="00DA55FA" w:rsidRPr="00AE0EE2" w:rsidRDefault="00DA55FA" w:rsidP="00C16AA4">
      <w:pPr>
        <w:rPr>
          <w:rFonts w:ascii="Garamond" w:hAnsi="Garamond" w:cs="Times New Roman"/>
          <w:b/>
          <w:sz w:val="23"/>
          <w:szCs w:val="23"/>
          <w:lang w:val="en-US"/>
        </w:rPr>
      </w:pPr>
    </w:p>
    <w:p w14:paraId="29A97115" w14:textId="77777777" w:rsidR="00DA55FA" w:rsidRPr="00AE0EE2" w:rsidRDefault="00DA55FA" w:rsidP="00C16AA4">
      <w:pPr>
        <w:rPr>
          <w:rFonts w:ascii="Garamond" w:hAnsi="Garamond" w:cs="Times New Roman"/>
          <w:b/>
          <w:sz w:val="23"/>
          <w:szCs w:val="23"/>
          <w:lang w:val="en-US"/>
        </w:rPr>
      </w:pPr>
    </w:p>
    <w:p w14:paraId="6463F71D" w14:textId="77777777" w:rsidR="00DA55FA" w:rsidRPr="00AE0EE2" w:rsidRDefault="00DA55FA" w:rsidP="00C16AA4">
      <w:pPr>
        <w:rPr>
          <w:rFonts w:ascii="Garamond" w:hAnsi="Garamond" w:cs="Times New Roman"/>
          <w:b/>
          <w:sz w:val="23"/>
          <w:szCs w:val="23"/>
          <w:lang w:val="en-US"/>
        </w:rPr>
      </w:pPr>
    </w:p>
    <w:p w14:paraId="6A0BEE1F" w14:textId="77777777" w:rsidR="00DA55FA" w:rsidRPr="00AE0EE2" w:rsidRDefault="00DA55FA" w:rsidP="00C16AA4">
      <w:pPr>
        <w:rPr>
          <w:rFonts w:ascii="Garamond" w:hAnsi="Garamond" w:cs="Times New Roman"/>
          <w:b/>
          <w:sz w:val="23"/>
          <w:szCs w:val="23"/>
          <w:lang w:val="en-US"/>
        </w:rPr>
      </w:pPr>
    </w:p>
    <w:p w14:paraId="66BB0C40" w14:textId="77777777" w:rsidR="00DA55FA" w:rsidRPr="00AE0EE2" w:rsidRDefault="00DA55FA" w:rsidP="00C16AA4">
      <w:pPr>
        <w:rPr>
          <w:rFonts w:ascii="Garamond" w:hAnsi="Garamond" w:cs="Times New Roman"/>
          <w:b/>
          <w:sz w:val="23"/>
          <w:szCs w:val="23"/>
          <w:lang w:val="en-US"/>
        </w:rPr>
      </w:pPr>
    </w:p>
    <w:p w14:paraId="30D1F028" w14:textId="77777777" w:rsidR="00DA55FA" w:rsidRPr="00AE0EE2" w:rsidRDefault="00DA55FA" w:rsidP="00C16AA4">
      <w:pPr>
        <w:rPr>
          <w:rFonts w:ascii="Garamond" w:hAnsi="Garamond" w:cs="Times New Roman"/>
          <w:b/>
          <w:sz w:val="23"/>
          <w:szCs w:val="23"/>
          <w:lang w:val="en-US"/>
        </w:rPr>
      </w:pPr>
    </w:p>
    <w:p w14:paraId="00F70082" w14:textId="77777777" w:rsidR="00DA55FA" w:rsidRPr="00AE0EE2" w:rsidRDefault="00DA55FA" w:rsidP="00C16AA4">
      <w:pPr>
        <w:rPr>
          <w:rFonts w:ascii="Garamond" w:hAnsi="Garamond" w:cs="Times New Roman"/>
          <w:b/>
          <w:sz w:val="23"/>
          <w:szCs w:val="23"/>
          <w:lang w:val="en-US"/>
        </w:rPr>
      </w:pPr>
    </w:p>
    <w:p w14:paraId="1EDB23C4" w14:textId="77777777" w:rsidR="00DA55FA" w:rsidRPr="00AE0EE2" w:rsidRDefault="00DA55FA" w:rsidP="00C16AA4">
      <w:pPr>
        <w:rPr>
          <w:rFonts w:ascii="Garamond" w:hAnsi="Garamond" w:cs="Times New Roman"/>
          <w:b/>
          <w:sz w:val="23"/>
          <w:szCs w:val="23"/>
          <w:lang w:val="en-US"/>
        </w:rPr>
      </w:pPr>
    </w:p>
    <w:p w14:paraId="57F7D3F2" w14:textId="77777777" w:rsidR="00D41F65" w:rsidRDefault="00D41F65" w:rsidP="00DA55FA">
      <w:pPr>
        <w:jc w:val="center"/>
        <w:rPr>
          <w:rFonts w:ascii="Garamond" w:hAnsi="Garamond" w:cs="Times New Roman"/>
          <w:b/>
          <w:sz w:val="23"/>
          <w:szCs w:val="23"/>
          <w:lang w:val="en-US"/>
        </w:rPr>
      </w:pPr>
    </w:p>
    <w:p w14:paraId="598AC3AA" w14:textId="77777777" w:rsidR="00B81E8F" w:rsidRPr="00D41F65" w:rsidRDefault="00604156" w:rsidP="00DA55FA">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Background of the Overall Situation</w:t>
      </w:r>
    </w:p>
    <w:p w14:paraId="3B8143B3" w14:textId="77777777" w:rsidR="00F139DC" w:rsidRPr="00AE0EE2" w:rsidRDefault="00F139DC" w:rsidP="00C16AA4">
      <w:pPr>
        <w:rPr>
          <w:rFonts w:ascii="Garamond" w:hAnsi="Garamond" w:cs="Times New Roman"/>
          <w:i/>
          <w:sz w:val="23"/>
          <w:szCs w:val="23"/>
          <w:lang w:val="en-US"/>
        </w:rPr>
      </w:pPr>
      <w:r w:rsidRPr="00AE0EE2">
        <w:rPr>
          <w:rFonts w:ascii="Garamond" w:hAnsi="Garamond" w:cs="Times New Roman"/>
          <w:i/>
          <w:sz w:val="23"/>
          <w:szCs w:val="23"/>
          <w:lang w:val="en-US"/>
        </w:rPr>
        <w:t>Effects of the Military Coup Attempt</w:t>
      </w:r>
    </w:p>
    <w:p w14:paraId="690EF5ED"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A military coup attempt occurred on the night of July 15th, 2016, where approximately 250 coup-</w:t>
      </w:r>
      <w:proofErr w:type="spellStart"/>
      <w:r w:rsidRPr="00AE0EE2">
        <w:rPr>
          <w:rFonts w:ascii="Garamond" w:hAnsi="Garamond" w:cs="Times New Roman"/>
          <w:sz w:val="23"/>
          <w:szCs w:val="23"/>
          <w:lang w:val="en-US"/>
        </w:rPr>
        <w:t>opposers</w:t>
      </w:r>
      <w:proofErr w:type="spellEnd"/>
      <w:r w:rsidRPr="00AE0EE2">
        <w:rPr>
          <w:rFonts w:ascii="Garamond" w:hAnsi="Garamond" w:cs="Times New Roman"/>
          <w:sz w:val="23"/>
          <w:szCs w:val="23"/>
          <w:lang w:val="en-US"/>
        </w:rPr>
        <w:t xml:space="preserve">, 173 of them civilians, lost their lives. </w:t>
      </w:r>
      <w:proofErr w:type="gramStart"/>
      <w:r w:rsidRPr="00AE0EE2">
        <w:rPr>
          <w:rFonts w:ascii="Garamond" w:hAnsi="Garamond" w:cs="Times New Roman"/>
          <w:sz w:val="23"/>
          <w:szCs w:val="23"/>
          <w:lang w:val="en-US"/>
        </w:rPr>
        <w:t xml:space="preserve">The coup-attempt was stopped by civilians, who were asked by the President </w:t>
      </w:r>
      <w:proofErr w:type="spellStart"/>
      <w:r w:rsidRPr="00AE0EE2">
        <w:rPr>
          <w:rFonts w:ascii="Garamond" w:hAnsi="Garamond" w:cs="Times New Roman"/>
          <w:sz w:val="23"/>
          <w:szCs w:val="23"/>
          <w:lang w:val="en-US"/>
        </w:rPr>
        <w:t>Recep</w:t>
      </w:r>
      <w:proofErr w:type="spellEnd"/>
      <w:r w:rsidRPr="00AE0EE2">
        <w:rPr>
          <w:rFonts w:ascii="Garamond" w:hAnsi="Garamond" w:cs="Times New Roman"/>
          <w:sz w:val="23"/>
          <w:szCs w:val="23"/>
          <w:lang w:val="en-US"/>
        </w:rPr>
        <w:t xml:space="preserve"> </w:t>
      </w:r>
      <w:proofErr w:type="spellStart"/>
      <w:r w:rsidRPr="00AE0EE2">
        <w:rPr>
          <w:rFonts w:ascii="Garamond" w:hAnsi="Garamond" w:cs="Times New Roman"/>
          <w:sz w:val="23"/>
          <w:szCs w:val="23"/>
          <w:lang w:val="en-US"/>
        </w:rPr>
        <w:t>Tayyip</w:t>
      </w:r>
      <w:proofErr w:type="spellEnd"/>
      <w:r w:rsidRPr="00AE0EE2">
        <w:rPr>
          <w:rFonts w:ascii="Garamond" w:hAnsi="Garamond" w:cs="Times New Roman"/>
          <w:sz w:val="23"/>
          <w:szCs w:val="23"/>
          <w:lang w:val="en-US"/>
        </w:rPr>
        <w:t xml:space="preserve"> </w:t>
      </w:r>
      <w:proofErr w:type="spellStart"/>
      <w:r w:rsidRPr="00AE0EE2">
        <w:rPr>
          <w:rFonts w:ascii="Garamond" w:hAnsi="Garamond" w:cs="Times New Roman"/>
          <w:sz w:val="23"/>
          <w:szCs w:val="23"/>
          <w:lang w:val="en-US"/>
        </w:rPr>
        <w:t>Erdo</w:t>
      </w:r>
      <w:r w:rsidRPr="00AE0EE2">
        <w:rPr>
          <w:rFonts w:ascii="Times New Roman" w:hAnsi="Times New Roman" w:cs="Times New Roman"/>
          <w:sz w:val="23"/>
          <w:szCs w:val="23"/>
          <w:lang w:val="en-US"/>
        </w:rPr>
        <w:t>ğ</w:t>
      </w:r>
      <w:r w:rsidRPr="00AE0EE2">
        <w:rPr>
          <w:rFonts w:ascii="Garamond" w:hAnsi="Garamond" w:cs="Times New Roman"/>
          <w:sz w:val="23"/>
          <w:szCs w:val="23"/>
          <w:lang w:val="en-US"/>
        </w:rPr>
        <w:t>an</w:t>
      </w:r>
      <w:proofErr w:type="spellEnd"/>
      <w:r w:rsidRPr="00AE0EE2">
        <w:rPr>
          <w:rFonts w:ascii="Garamond" w:hAnsi="Garamond" w:cs="Times New Roman"/>
          <w:sz w:val="23"/>
          <w:szCs w:val="23"/>
          <w:lang w:val="en-US"/>
        </w:rPr>
        <w:t xml:space="preserve"> to take to the streets against the military faction</w:t>
      </w:r>
      <w:proofErr w:type="gramEnd"/>
      <w:r w:rsidRPr="00AE0EE2">
        <w:rPr>
          <w:rFonts w:ascii="Garamond" w:hAnsi="Garamond" w:cs="Times New Roman"/>
          <w:sz w:val="23"/>
          <w:szCs w:val="23"/>
          <w:lang w:val="en-US"/>
        </w:rPr>
        <w:t xml:space="preserve">. The government has accused the </w:t>
      </w:r>
      <w:proofErr w:type="spellStart"/>
      <w:r w:rsidRPr="00AE0EE2">
        <w:rPr>
          <w:rFonts w:ascii="Garamond" w:hAnsi="Garamond" w:cs="Times New Roman"/>
          <w:sz w:val="23"/>
          <w:szCs w:val="23"/>
          <w:lang w:val="en-US"/>
        </w:rPr>
        <w:t>Fethullah</w:t>
      </w:r>
      <w:proofErr w:type="spellEnd"/>
      <w:r w:rsidRPr="00AE0EE2">
        <w:rPr>
          <w:rFonts w:ascii="Garamond" w:hAnsi="Garamond" w:cs="Times New Roman"/>
          <w:sz w:val="23"/>
          <w:szCs w:val="23"/>
          <w:lang w:val="en-US"/>
        </w:rPr>
        <w:t xml:space="preserve"> </w:t>
      </w:r>
      <w:proofErr w:type="spellStart"/>
      <w:r w:rsidRPr="00AE0EE2">
        <w:rPr>
          <w:rFonts w:ascii="Garamond" w:hAnsi="Garamond" w:cs="Times New Roman"/>
          <w:sz w:val="23"/>
          <w:szCs w:val="23"/>
          <w:lang w:val="en-US"/>
        </w:rPr>
        <w:t>Gülen</w:t>
      </w:r>
      <w:proofErr w:type="spellEnd"/>
      <w:r w:rsidRPr="00AE0EE2">
        <w:rPr>
          <w:rFonts w:ascii="Garamond" w:hAnsi="Garamond" w:cs="Times New Roman"/>
          <w:sz w:val="23"/>
          <w:szCs w:val="23"/>
          <w:lang w:val="en-US"/>
        </w:rPr>
        <w:t xml:space="preserve"> Organization for conspiring to overthrow the government. The AKP government declared a State of Emergency (</w:t>
      </w:r>
      <w:proofErr w:type="spellStart"/>
      <w:r w:rsidRPr="00AE0EE2">
        <w:rPr>
          <w:rFonts w:ascii="Garamond" w:hAnsi="Garamond" w:cs="Times New Roman"/>
          <w:sz w:val="23"/>
          <w:szCs w:val="23"/>
          <w:lang w:val="en-US"/>
        </w:rPr>
        <w:t>SoE</w:t>
      </w:r>
      <w:proofErr w:type="spellEnd"/>
      <w:r w:rsidRPr="00AE0EE2">
        <w:rPr>
          <w:rFonts w:ascii="Garamond" w:hAnsi="Garamond" w:cs="Times New Roman"/>
          <w:sz w:val="23"/>
          <w:szCs w:val="23"/>
          <w:lang w:val="en-US"/>
        </w:rPr>
        <w:t xml:space="preserve">) to last for three months on July 20th, which came into effect on July 21st. When the 90 days were completed, the </w:t>
      </w:r>
      <w:proofErr w:type="spellStart"/>
      <w:r w:rsidRPr="00AE0EE2">
        <w:rPr>
          <w:rFonts w:ascii="Garamond" w:hAnsi="Garamond" w:cs="Times New Roman"/>
          <w:sz w:val="23"/>
          <w:szCs w:val="23"/>
          <w:lang w:val="en-US"/>
        </w:rPr>
        <w:t>SoE</w:t>
      </w:r>
      <w:proofErr w:type="spellEnd"/>
      <w:r w:rsidRPr="00AE0EE2">
        <w:rPr>
          <w:rFonts w:ascii="Garamond" w:hAnsi="Garamond" w:cs="Times New Roman"/>
          <w:sz w:val="23"/>
          <w:szCs w:val="23"/>
          <w:lang w:val="en-US"/>
        </w:rPr>
        <w:t xml:space="preserve"> was extended for another three months, effective on October 19th. </w:t>
      </w:r>
    </w:p>
    <w:p w14:paraId="7DFD855F"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 xml:space="preserve">During the </w:t>
      </w:r>
      <w:proofErr w:type="spellStart"/>
      <w:r w:rsidRPr="00AE0EE2">
        <w:rPr>
          <w:rFonts w:ascii="Garamond" w:hAnsi="Garamond" w:cs="Times New Roman"/>
          <w:sz w:val="23"/>
          <w:szCs w:val="23"/>
          <w:lang w:val="en-US"/>
        </w:rPr>
        <w:t>SoE</w:t>
      </w:r>
      <w:proofErr w:type="spellEnd"/>
      <w:r w:rsidRPr="00AE0EE2">
        <w:rPr>
          <w:rFonts w:ascii="Garamond" w:hAnsi="Garamond" w:cs="Times New Roman"/>
          <w:sz w:val="23"/>
          <w:szCs w:val="23"/>
          <w:lang w:val="en-US"/>
        </w:rPr>
        <w:t xml:space="preserve">, the government has legislated through executive orders that carry the same legal force as laws, bypassing the Parliament. The executive orders approved by the Council of Ministers are discussed in the Parliament within 30 days. Since July 21st, 12 executive orders have been put into force. The domestic remedy mechanisms are unavailable for the consequences of executive orders. The main opposition party, CHP, has applied to the Constitutional Court for two of the executive orders, but the Court rejected application on the grounds that it does not have jurisdiction over the merits of executive orders. </w:t>
      </w:r>
    </w:p>
    <w:p w14:paraId="01F28C85"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Following the coup attempt, an anti-</w:t>
      </w:r>
      <w:proofErr w:type="spellStart"/>
      <w:r w:rsidRPr="00AE0EE2">
        <w:rPr>
          <w:rFonts w:ascii="Garamond" w:hAnsi="Garamond" w:cs="Times New Roman"/>
          <w:sz w:val="23"/>
          <w:szCs w:val="23"/>
          <w:lang w:val="en-US"/>
        </w:rPr>
        <w:t>Gülenist</w:t>
      </w:r>
      <w:proofErr w:type="spellEnd"/>
      <w:r w:rsidRPr="00AE0EE2">
        <w:rPr>
          <w:rFonts w:ascii="Garamond" w:hAnsi="Garamond" w:cs="Times New Roman"/>
          <w:sz w:val="23"/>
          <w:szCs w:val="23"/>
          <w:lang w:val="en-US"/>
        </w:rPr>
        <w:t xml:space="preserve"> crackdown began on the Turkish Military, National Security Forces, the Judiciary, the media, the academia, the private sector, the education sector, and the civil society. The operations are ongoing, and increasingly not limited to the </w:t>
      </w:r>
      <w:proofErr w:type="spellStart"/>
      <w:r w:rsidRPr="00AE0EE2">
        <w:rPr>
          <w:rFonts w:ascii="Garamond" w:hAnsi="Garamond" w:cs="Times New Roman"/>
          <w:sz w:val="23"/>
          <w:szCs w:val="23"/>
          <w:lang w:val="en-US"/>
        </w:rPr>
        <w:t>Gülen</w:t>
      </w:r>
      <w:proofErr w:type="spellEnd"/>
      <w:r w:rsidRPr="00AE0EE2">
        <w:rPr>
          <w:rFonts w:ascii="Garamond" w:hAnsi="Garamond" w:cs="Times New Roman"/>
          <w:sz w:val="23"/>
          <w:szCs w:val="23"/>
          <w:lang w:val="en-US"/>
        </w:rPr>
        <w:t xml:space="preserve"> Organization. Through the executive orders, the government is dismissing members of opposition civil servant unions, and those who are working for the peaceful resolution of the Kurdish issue from their posts, and some of those are being arrested.</w:t>
      </w:r>
    </w:p>
    <w:p w14:paraId="5105794C"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Due to operations on the judiciary, courthouses have grinded to a halt, the principle of natural judge, where extraordinary tribunals cannot be established to override the national courts has been lifted, and the judiciary has effectively lost its separation and independence from the government.</w:t>
      </w:r>
    </w:p>
    <w:p w14:paraId="5A0B2E2E"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 xml:space="preserve">Along with the allegedly </w:t>
      </w:r>
      <w:proofErr w:type="spellStart"/>
      <w:r w:rsidRPr="00AE0EE2">
        <w:rPr>
          <w:rFonts w:ascii="Garamond" w:hAnsi="Garamond" w:cs="Times New Roman"/>
          <w:sz w:val="23"/>
          <w:szCs w:val="23"/>
          <w:lang w:val="en-US"/>
        </w:rPr>
        <w:t>Gülenist</w:t>
      </w:r>
      <w:proofErr w:type="spellEnd"/>
      <w:r w:rsidRPr="00AE0EE2">
        <w:rPr>
          <w:rFonts w:ascii="Garamond" w:hAnsi="Garamond" w:cs="Times New Roman"/>
          <w:sz w:val="23"/>
          <w:szCs w:val="23"/>
          <w:lang w:val="en-US"/>
        </w:rPr>
        <w:t xml:space="preserve"> media organs, other opposition radio and television channels, and newspapers were closed down, and many opposition journalists were arrested. Currently, 128 journalists are under arrest and placed in prison. Many Kurdish TV channels, including one that airs children’s cartoons were shut down for alleged involvement with the PKK or the </w:t>
      </w:r>
      <w:proofErr w:type="spellStart"/>
      <w:r w:rsidRPr="00AE0EE2">
        <w:rPr>
          <w:rFonts w:ascii="Garamond" w:hAnsi="Garamond" w:cs="Times New Roman"/>
          <w:sz w:val="23"/>
          <w:szCs w:val="23"/>
          <w:lang w:val="en-US"/>
        </w:rPr>
        <w:t>Gülen</w:t>
      </w:r>
      <w:proofErr w:type="spellEnd"/>
      <w:r w:rsidRPr="00AE0EE2">
        <w:rPr>
          <w:rFonts w:ascii="Garamond" w:hAnsi="Garamond" w:cs="Times New Roman"/>
          <w:sz w:val="23"/>
          <w:szCs w:val="23"/>
          <w:lang w:val="en-US"/>
        </w:rPr>
        <w:t xml:space="preserve"> Organization. </w:t>
      </w:r>
    </w:p>
    <w:p w14:paraId="79F775D2" w14:textId="77777777" w:rsidR="00C16AA4" w:rsidRPr="00AE0EE2" w:rsidRDefault="00C16AA4" w:rsidP="00C16AA4">
      <w:pPr>
        <w:rPr>
          <w:rFonts w:ascii="Garamond" w:hAnsi="Garamond" w:cs="Times New Roman"/>
          <w:sz w:val="23"/>
          <w:szCs w:val="23"/>
          <w:lang w:val="en-US"/>
        </w:rPr>
      </w:pPr>
      <w:r w:rsidRPr="00AE0EE2">
        <w:rPr>
          <w:rFonts w:ascii="Garamond" w:hAnsi="Garamond" w:cs="Times New Roman"/>
          <w:sz w:val="23"/>
          <w:szCs w:val="23"/>
          <w:lang w:val="en-US"/>
        </w:rPr>
        <w:t xml:space="preserve">Executive order number 667, issued on July 22nd, has closed down 35 health facilities and institutions, 1.043 private education and dorms, 1.229 foundations and associations, 19 union federations and confederations, and 15 private universities. Most of the executive staff of these organizations </w:t>
      </w:r>
      <w:proofErr w:type="gramStart"/>
      <w:r w:rsidRPr="00AE0EE2">
        <w:rPr>
          <w:rFonts w:ascii="Garamond" w:hAnsi="Garamond" w:cs="Times New Roman"/>
          <w:sz w:val="23"/>
          <w:szCs w:val="23"/>
          <w:lang w:val="en-US"/>
        </w:rPr>
        <w:t>were</w:t>
      </w:r>
      <w:proofErr w:type="gramEnd"/>
      <w:r w:rsidRPr="00AE0EE2">
        <w:rPr>
          <w:rFonts w:ascii="Garamond" w:hAnsi="Garamond" w:cs="Times New Roman"/>
          <w:sz w:val="23"/>
          <w:szCs w:val="23"/>
          <w:lang w:val="en-US"/>
        </w:rPr>
        <w:t xml:space="preserve"> arrested. With the executive order dated November 22nd, 375 more associations from civil society were closed, increasing the number of foundations and associations shut down to a total of 1.604. </w:t>
      </w:r>
    </w:p>
    <w:p w14:paraId="256FF4B3" w14:textId="77777777" w:rsidR="00F139DC" w:rsidRPr="00AE0EE2" w:rsidRDefault="00F139DC" w:rsidP="00C16AA4">
      <w:pPr>
        <w:rPr>
          <w:rFonts w:ascii="Garamond" w:hAnsi="Garamond" w:cs="Times New Roman"/>
          <w:i/>
          <w:sz w:val="23"/>
          <w:szCs w:val="23"/>
          <w:lang w:val="en-US"/>
        </w:rPr>
      </w:pPr>
      <w:r w:rsidRPr="00AE0EE2">
        <w:rPr>
          <w:rFonts w:ascii="Garamond" w:hAnsi="Garamond" w:cs="Times New Roman"/>
          <w:i/>
          <w:sz w:val="23"/>
          <w:szCs w:val="23"/>
          <w:lang w:val="en-US"/>
        </w:rPr>
        <w:t>Suppression of Political Dissent</w:t>
      </w:r>
    </w:p>
    <w:p w14:paraId="530B30CC" w14:textId="77777777" w:rsidR="008B513C" w:rsidRPr="00AE0EE2" w:rsidRDefault="008B513C" w:rsidP="008B513C">
      <w:pPr>
        <w:rPr>
          <w:rFonts w:ascii="Garamond" w:hAnsi="Garamond" w:cs="Times New Roman"/>
          <w:sz w:val="23"/>
          <w:szCs w:val="23"/>
          <w:lang w:val="en-CA"/>
        </w:rPr>
      </w:pPr>
      <w:r w:rsidRPr="00AE0EE2">
        <w:rPr>
          <w:rFonts w:ascii="Garamond" w:hAnsi="Garamond" w:cs="Times New Roman"/>
          <w:sz w:val="23"/>
          <w:szCs w:val="23"/>
          <w:lang w:val="en-US"/>
        </w:rPr>
        <w:t xml:space="preserve">Ten Parliamentarians belonging to the third biggest political party in the Parliament are currently under arrest awaiting trial. This group includes the co-chairs of the People’s Democratic Party (HDP). </w:t>
      </w:r>
      <w:r w:rsidRPr="00AE0EE2">
        <w:rPr>
          <w:rFonts w:ascii="Garamond" w:hAnsi="Garamond" w:cs="Times New Roman"/>
          <w:sz w:val="23"/>
          <w:szCs w:val="23"/>
          <w:lang w:val="en-CA"/>
        </w:rPr>
        <w:t>A myriad of international leaders and rights associations have criticized the arrests due to the damaging nature of the arrests to Turkey’s democracy. Following the arrests, remaining HDP MPs have declared that they would boycott the Parliamentary commission meetings until the release of their colleagues.</w:t>
      </w:r>
    </w:p>
    <w:p w14:paraId="6F5BDDAB" w14:textId="77777777" w:rsidR="008B513C" w:rsidRPr="00AE0EE2" w:rsidRDefault="008B513C" w:rsidP="008B513C">
      <w:pPr>
        <w:spacing w:line="240" w:lineRule="auto"/>
        <w:rPr>
          <w:rFonts w:ascii="Garamond" w:hAnsi="Garamond" w:cs="Times New Roman"/>
          <w:sz w:val="23"/>
          <w:szCs w:val="23"/>
          <w:lang w:val="en-CA"/>
        </w:rPr>
      </w:pPr>
      <w:r w:rsidRPr="00AE0EE2">
        <w:rPr>
          <w:rFonts w:ascii="Garamond" w:hAnsi="Garamond" w:cs="Times New Roman"/>
          <w:sz w:val="23"/>
          <w:szCs w:val="23"/>
          <w:lang w:val="en-CA"/>
        </w:rPr>
        <w:lastRenderedPageBreak/>
        <w:t xml:space="preserve">The context of these arrests show significant symptoms of systemic deterioration of democratic safeguards. The general </w:t>
      </w:r>
      <w:proofErr w:type="gramStart"/>
      <w:r w:rsidRPr="00AE0EE2">
        <w:rPr>
          <w:rFonts w:ascii="Garamond" w:hAnsi="Garamond" w:cs="Times New Roman"/>
          <w:sz w:val="23"/>
          <w:szCs w:val="23"/>
          <w:lang w:val="en-CA"/>
        </w:rPr>
        <w:t>elections of June 7th, 2015 was</w:t>
      </w:r>
      <w:proofErr w:type="gramEnd"/>
      <w:r w:rsidRPr="00AE0EE2">
        <w:rPr>
          <w:rFonts w:ascii="Garamond" w:hAnsi="Garamond" w:cs="Times New Roman"/>
          <w:sz w:val="23"/>
          <w:szCs w:val="23"/>
          <w:lang w:val="en-CA"/>
        </w:rPr>
        <w:t xml:space="preserve"> the first time a pro-Kurdish party surpassed the 10% threshold for a party to enter the Parliament. HDP’s entry into the Parliament also jeopardized AKP’s majority to form a one-party government. Following the election, the peace process between the Turkish government and Kurdish insurgents collapsed, and a period of operations and curfews in Kurdish-majority areas began. The rhetoric of peace and reconciliation left its place to the rhetoric of war and counter-terrorism. </w:t>
      </w:r>
    </w:p>
    <w:p w14:paraId="3253E7FA" w14:textId="77777777" w:rsidR="008B513C" w:rsidRPr="00AE0EE2" w:rsidRDefault="008B513C" w:rsidP="008B513C">
      <w:pPr>
        <w:spacing w:line="240" w:lineRule="auto"/>
        <w:rPr>
          <w:rFonts w:ascii="Garamond" w:hAnsi="Garamond" w:cs="Times New Roman"/>
          <w:sz w:val="23"/>
          <w:szCs w:val="23"/>
          <w:lang w:val="en-CA"/>
        </w:rPr>
      </w:pPr>
      <w:r w:rsidRPr="00AE0EE2">
        <w:rPr>
          <w:rFonts w:ascii="Garamond" w:hAnsi="Garamond" w:cs="Times New Roman"/>
          <w:sz w:val="23"/>
          <w:szCs w:val="23"/>
          <w:lang w:val="en-CA"/>
        </w:rPr>
        <w:t xml:space="preserve">Governmental authorities adopted increasingly inflammatory rhetoric towards all supporters of peace, from academics to news organs and civil society. Supporting peace was declared to be synonymous with supporting terrorism. Parliamentary immunity in Turkey was an important mechanism to ensure free speech in the Parliament and beyond for all representatives. In April 2016, the inviolability of MPs </w:t>
      </w:r>
      <w:proofErr w:type="gramStart"/>
      <w:r w:rsidRPr="00AE0EE2">
        <w:rPr>
          <w:rFonts w:ascii="Garamond" w:hAnsi="Garamond" w:cs="Times New Roman"/>
          <w:sz w:val="23"/>
          <w:szCs w:val="23"/>
          <w:lang w:val="en-CA"/>
        </w:rPr>
        <w:t>were</w:t>
      </w:r>
      <w:proofErr w:type="gramEnd"/>
      <w:r w:rsidRPr="00AE0EE2">
        <w:rPr>
          <w:rFonts w:ascii="Garamond" w:hAnsi="Garamond" w:cs="Times New Roman"/>
          <w:sz w:val="23"/>
          <w:szCs w:val="23"/>
          <w:lang w:val="en-CA"/>
        </w:rPr>
        <w:t xml:space="preserve"> lifted in the Parliament, despite of strong cautionary opinions by international actors (see attached: Venice Commission Opinion on Parliamentary Inviolability). Given the strong opposition of HDP to this move, and the targeted rhetoric of the AKP government, the arrests </w:t>
      </w:r>
      <w:proofErr w:type="gramStart"/>
      <w:r w:rsidRPr="00AE0EE2">
        <w:rPr>
          <w:rFonts w:ascii="Garamond" w:hAnsi="Garamond" w:cs="Times New Roman"/>
          <w:sz w:val="23"/>
          <w:szCs w:val="23"/>
          <w:lang w:val="en-CA"/>
        </w:rPr>
        <w:t>are assessed to be politically motivated</w:t>
      </w:r>
      <w:proofErr w:type="gramEnd"/>
      <w:r w:rsidRPr="00AE0EE2">
        <w:rPr>
          <w:rFonts w:ascii="Garamond" w:hAnsi="Garamond" w:cs="Times New Roman"/>
          <w:sz w:val="23"/>
          <w:szCs w:val="23"/>
          <w:lang w:val="en-CA"/>
        </w:rPr>
        <w:t xml:space="preserve"> by critics. </w:t>
      </w:r>
    </w:p>
    <w:p w14:paraId="57F7293A" w14:textId="77777777" w:rsidR="008B513C" w:rsidRPr="00AE0EE2" w:rsidRDefault="008B513C" w:rsidP="008B513C">
      <w:pPr>
        <w:spacing w:line="240" w:lineRule="auto"/>
        <w:rPr>
          <w:rFonts w:ascii="Garamond" w:hAnsi="Garamond" w:cs="Times New Roman"/>
          <w:sz w:val="23"/>
          <w:szCs w:val="23"/>
          <w:lang w:val="en-US"/>
        </w:rPr>
      </w:pPr>
      <w:r w:rsidRPr="00AE0EE2">
        <w:rPr>
          <w:rFonts w:ascii="Garamond" w:hAnsi="Garamond" w:cs="Times New Roman"/>
          <w:sz w:val="23"/>
          <w:szCs w:val="23"/>
          <w:lang w:val="en-CA"/>
        </w:rPr>
        <w:t xml:space="preserve">The crackdown on the pro-Kurdish political establishment also impacted the elected local representatives in the Kurdish majority areas in Turkey. The elected co-mayors of </w:t>
      </w:r>
      <w:proofErr w:type="spellStart"/>
      <w:r w:rsidRPr="00AE0EE2">
        <w:rPr>
          <w:rFonts w:ascii="Garamond" w:hAnsi="Garamond" w:cs="Times New Roman"/>
          <w:sz w:val="23"/>
          <w:szCs w:val="23"/>
          <w:lang w:val="en-CA"/>
        </w:rPr>
        <w:t>Amed</w:t>
      </w:r>
      <w:proofErr w:type="spellEnd"/>
      <w:r w:rsidRPr="00AE0EE2">
        <w:rPr>
          <w:rFonts w:ascii="Garamond" w:hAnsi="Garamond" w:cs="Times New Roman"/>
          <w:sz w:val="23"/>
          <w:szCs w:val="23"/>
          <w:lang w:val="en-CA"/>
        </w:rPr>
        <w:t xml:space="preserve"> (Diyarbakır), a city of 1.670.000 people, were arrested a week before </w:t>
      </w:r>
      <w:proofErr w:type="spellStart"/>
      <w:r w:rsidRPr="00AE0EE2">
        <w:rPr>
          <w:rFonts w:ascii="Garamond" w:hAnsi="Garamond" w:cs="Times New Roman"/>
          <w:sz w:val="23"/>
          <w:szCs w:val="23"/>
          <w:lang w:val="en-CA"/>
        </w:rPr>
        <w:t>Demirta</w:t>
      </w:r>
      <w:r w:rsidRPr="00AE0EE2">
        <w:rPr>
          <w:rFonts w:ascii="Times New Roman" w:hAnsi="Times New Roman" w:cs="Times New Roman"/>
          <w:sz w:val="23"/>
          <w:szCs w:val="23"/>
          <w:lang w:val="en-CA"/>
        </w:rPr>
        <w:t>ş</w:t>
      </w:r>
      <w:proofErr w:type="spellEnd"/>
      <w:r w:rsidRPr="00AE0EE2">
        <w:rPr>
          <w:rFonts w:ascii="Garamond" w:hAnsi="Garamond" w:cs="Times New Roman"/>
          <w:sz w:val="23"/>
          <w:szCs w:val="23"/>
          <w:lang w:val="en-CA"/>
        </w:rPr>
        <w:t xml:space="preserve"> and </w:t>
      </w:r>
      <w:proofErr w:type="spellStart"/>
      <w:r w:rsidRPr="00AE0EE2">
        <w:rPr>
          <w:rFonts w:ascii="Garamond" w:hAnsi="Garamond" w:cs="Times New Roman"/>
          <w:sz w:val="23"/>
          <w:szCs w:val="23"/>
          <w:lang w:val="en-CA"/>
        </w:rPr>
        <w:t>Yüksekda</w:t>
      </w:r>
      <w:r w:rsidRPr="00AE0EE2">
        <w:rPr>
          <w:rFonts w:ascii="Times New Roman" w:hAnsi="Times New Roman" w:cs="Times New Roman"/>
          <w:sz w:val="23"/>
          <w:szCs w:val="23"/>
          <w:lang w:val="en-CA"/>
        </w:rPr>
        <w:t>ğ</w:t>
      </w:r>
      <w:proofErr w:type="spellEnd"/>
      <w:r w:rsidRPr="00AE0EE2">
        <w:rPr>
          <w:rFonts w:ascii="Garamond" w:hAnsi="Garamond" w:cs="Times New Roman"/>
          <w:sz w:val="23"/>
          <w:szCs w:val="23"/>
          <w:lang w:val="en-CA"/>
        </w:rPr>
        <w:t xml:space="preserve">. </w:t>
      </w:r>
      <w:r w:rsidRPr="00AE0EE2">
        <w:rPr>
          <w:rFonts w:ascii="Garamond" w:hAnsi="Garamond" w:cs="Times New Roman"/>
          <w:sz w:val="23"/>
          <w:szCs w:val="23"/>
          <w:lang w:val="en-US"/>
        </w:rPr>
        <w:t>Following the imprisonment of the co-mayors, a district governor from Ankara was appointed to run the Diyarbakir Metropolitan Municipality</w:t>
      </w:r>
    </w:p>
    <w:p w14:paraId="3FF573E2" w14:textId="77777777" w:rsidR="008B513C" w:rsidRPr="00AE0EE2" w:rsidRDefault="008B513C" w:rsidP="008B513C">
      <w:pPr>
        <w:spacing w:line="240" w:lineRule="auto"/>
        <w:rPr>
          <w:rFonts w:ascii="Garamond" w:hAnsi="Garamond" w:cs="Times New Roman"/>
          <w:i/>
          <w:sz w:val="23"/>
          <w:szCs w:val="23"/>
          <w:lang w:val="en-CA"/>
        </w:rPr>
      </w:pPr>
      <w:r w:rsidRPr="00AE0EE2">
        <w:rPr>
          <w:rFonts w:ascii="Garamond" w:hAnsi="Garamond" w:cs="Times New Roman"/>
          <w:i/>
          <w:sz w:val="23"/>
          <w:szCs w:val="23"/>
          <w:lang w:val="en-US"/>
        </w:rPr>
        <w:t>Freedom of Peaceful Assembly</w:t>
      </w:r>
    </w:p>
    <w:p w14:paraId="466B6876" w14:textId="402526C7" w:rsidR="008B513C" w:rsidRPr="00AE0EE2" w:rsidRDefault="008B513C" w:rsidP="008B513C">
      <w:pPr>
        <w:rPr>
          <w:rFonts w:ascii="Garamond" w:hAnsi="Garamond" w:cs="Times New Roman"/>
          <w:sz w:val="23"/>
          <w:szCs w:val="23"/>
          <w:lang w:val="en-US"/>
        </w:rPr>
      </w:pPr>
      <w:r w:rsidRPr="00AE0EE2">
        <w:rPr>
          <w:rFonts w:ascii="Garamond" w:hAnsi="Garamond" w:cs="Times New Roman"/>
          <w:sz w:val="23"/>
          <w:szCs w:val="23"/>
          <w:lang w:val="en-US"/>
        </w:rPr>
        <w:t xml:space="preserve">While elected representatives and local authorities are placed under arrest and are dismissed from their duties, avenues for dissent in civil spaces are also being seriously hindered. People’s right to protest </w:t>
      </w:r>
      <w:r w:rsidR="001C0DC9">
        <w:rPr>
          <w:rFonts w:ascii="Garamond" w:hAnsi="Garamond" w:cs="Times New Roman"/>
          <w:sz w:val="23"/>
          <w:szCs w:val="23"/>
          <w:lang w:val="en-US"/>
        </w:rPr>
        <w:t xml:space="preserve">is suppressed, along with </w:t>
      </w:r>
      <w:r w:rsidRPr="00AE0EE2">
        <w:rPr>
          <w:rFonts w:ascii="Garamond" w:hAnsi="Garamond" w:cs="Times New Roman"/>
          <w:sz w:val="23"/>
          <w:szCs w:val="23"/>
          <w:lang w:val="en-US"/>
        </w:rPr>
        <w:t>democratic principles</w:t>
      </w:r>
      <w:r w:rsidR="001C0DC9">
        <w:rPr>
          <w:rFonts w:ascii="Garamond" w:hAnsi="Garamond" w:cs="Times New Roman"/>
          <w:sz w:val="23"/>
          <w:szCs w:val="23"/>
          <w:lang w:val="en-US"/>
        </w:rPr>
        <w:t xml:space="preserve"> of plurality of thought</w:t>
      </w:r>
      <w:r w:rsidRPr="00AE0EE2">
        <w:rPr>
          <w:rFonts w:ascii="Garamond" w:hAnsi="Garamond" w:cs="Times New Roman"/>
          <w:sz w:val="23"/>
          <w:szCs w:val="23"/>
          <w:lang w:val="en-US"/>
        </w:rPr>
        <w:t xml:space="preserve">. Any attempt to peacefully assemble on any issue has been triggering severe response, legitimized </w:t>
      </w:r>
      <w:r w:rsidR="001C0DC9">
        <w:rPr>
          <w:rFonts w:ascii="Garamond" w:hAnsi="Garamond" w:cs="Times New Roman"/>
          <w:sz w:val="23"/>
          <w:szCs w:val="23"/>
          <w:lang w:val="en-US"/>
        </w:rPr>
        <w:t xml:space="preserve">by </w:t>
      </w:r>
      <w:r w:rsidRPr="00AE0EE2">
        <w:rPr>
          <w:rFonts w:ascii="Garamond" w:hAnsi="Garamond" w:cs="Times New Roman"/>
          <w:sz w:val="23"/>
          <w:szCs w:val="23"/>
          <w:lang w:val="en-US"/>
        </w:rPr>
        <w:t xml:space="preserve">the state of emergency regime in effect. The Turkish government, which is already reprimanded by the European Court of Human Rights for its systemic </w:t>
      </w:r>
      <w:r w:rsidR="00990EB2">
        <w:rPr>
          <w:rFonts w:ascii="Garamond" w:hAnsi="Garamond" w:cs="Times New Roman"/>
          <w:sz w:val="23"/>
          <w:szCs w:val="23"/>
          <w:lang w:val="en-US"/>
        </w:rPr>
        <w:t>violations of the</w:t>
      </w:r>
      <w:r w:rsidRPr="00AE0EE2">
        <w:rPr>
          <w:rFonts w:ascii="Garamond" w:hAnsi="Garamond" w:cs="Times New Roman"/>
          <w:sz w:val="23"/>
          <w:szCs w:val="23"/>
          <w:lang w:val="en-US"/>
        </w:rPr>
        <w:t xml:space="preserve"> right to peaceful assembly and association, has doubled down on protests of all forms, from sitting strikes to union marches.</w:t>
      </w:r>
    </w:p>
    <w:p w14:paraId="21935C06" w14:textId="165EAAA0" w:rsidR="008B513C" w:rsidRPr="00AE0EE2" w:rsidRDefault="008B513C" w:rsidP="008B513C">
      <w:pPr>
        <w:rPr>
          <w:rFonts w:ascii="Garamond" w:hAnsi="Garamond" w:cs="Times New Roman"/>
          <w:sz w:val="23"/>
          <w:szCs w:val="23"/>
          <w:lang w:val="en-US"/>
        </w:rPr>
      </w:pPr>
      <w:r w:rsidRPr="00AE0EE2">
        <w:rPr>
          <w:rFonts w:ascii="Garamond" w:hAnsi="Garamond" w:cs="Times New Roman"/>
          <w:sz w:val="23"/>
          <w:szCs w:val="23"/>
          <w:lang w:val="en-US"/>
        </w:rPr>
        <w:t xml:space="preserve">Another troubling aspect of these developments is that the suppression of representation rights </w:t>
      </w:r>
      <w:r w:rsidR="00990EB2">
        <w:rPr>
          <w:rFonts w:ascii="Garamond" w:hAnsi="Garamond" w:cs="Times New Roman"/>
          <w:sz w:val="23"/>
          <w:szCs w:val="23"/>
          <w:lang w:val="en-US"/>
        </w:rPr>
        <w:t>overwhelmingly affect</w:t>
      </w:r>
      <w:r w:rsidRPr="00AE0EE2">
        <w:rPr>
          <w:rFonts w:ascii="Garamond" w:hAnsi="Garamond" w:cs="Times New Roman"/>
          <w:sz w:val="23"/>
          <w:szCs w:val="23"/>
          <w:lang w:val="en-US"/>
        </w:rPr>
        <w:t xml:space="preserve"> </w:t>
      </w:r>
      <w:r w:rsidR="00990EB2">
        <w:rPr>
          <w:rFonts w:ascii="Garamond" w:hAnsi="Garamond" w:cs="Times New Roman"/>
          <w:sz w:val="23"/>
          <w:szCs w:val="23"/>
          <w:lang w:val="en-US"/>
        </w:rPr>
        <w:t>minority groups</w:t>
      </w:r>
      <w:r w:rsidRPr="00AE0EE2">
        <w:rPr>
          <w:rFonts w:ascii="Garamond" w:hAnsi="Garamond" w:cs="Times New Roman"/>
          <w:sz w:val="23"/>
          <w:szCs w:val="23"/>
          <w:lang w:val="en-US"/>
        </w:rPr>
        <w:t>,</w:t>
      </w:r>
      <w:r w:rsidR="00990EB2">
        <w:rPr>
          <w:rFonts w:ascii="Garamond" w:hAnsi="Garamond" w:cs="Times New Roman"/>
          <w:sz w:val="23"/>
          <w:szCs w:val="23"/>
          <w:lang w:val="en-US"/>
        </w:rPr>
        <w:t xml:space="preserve"> mainly Kurdish citizens,</w:t>
      </w:r>
      <w:r w:rsidRPr="00AE0EE2">
        <w:rPr>
          <w:rFonts w:ascii="Garamond" w:hAnsi="Garamond" w:cs="Times New Roman"/>
          <w:sz w:val="23"/>
          <w:szCs w:val="23"/>
          <w:lang w:val="en-US"/>
        </w:rPr>
        <w:t xml:space="preserve"> </w:t>
      </w:r>
      <w:proofErr w:type="gramStart"/>
      <w:r w:rsidRPr="00AE0EE2">
        <w:rPr>
          <w:rFonts w:ascii="Garamond" w:hAnsi="Garamond" w:cs="Times New Roman"/>
          <w:sz w:val="23"/>
          <w:szCs w:val="23"/>
          <w:lang w:val="en-US"/>
        </w:rPr>
        <w:t>a</w:t>
      </w:r>
      <w:proofErr w:type="gramEnd"/>
      <w:r w:rsidRPr="00AE0EE2">
        <w:rPr>
          <w:rFonts w:ascii="Garamond" w:hAnsi="Garamond" w:cs="Times New Roman"/>
          <w:sz w:val="23"/>
          <w:szCs w:val="23"/>
          <w:lang w:val="en-US"/>
        </w:rPr>
        <w:t xml:space="preserve"> historically underrepresented and disenfranchised ethnic group in Turkey. However, the targeting does not only affect Kurdish groups. Other fundamental democratic rights, such as the freedom of media, freedom of association and of expression are also attacked, whether through newspaper editors being arrested, operations of associations being halted without any legal action, or charging citizens for anti-government criticism with antiquated insult laws. The state of emergency provides a legal and procedural shield to these undemocratic measures. </w:t>
      </w:r>
      <w:r w:rsidR="00990EB2">
        <w:rPr>
          <w:rFonts w:ascii="Garamond" w:hAnsi="Garamond" w:cs="Times New Roman"/>
          <w:sz w:val="23"/>
          <w:szCs w:val="23"/>
          <w:lang w:val="en-US"/>
        </w:rPr>
        <w:t>A</w:t>
      </w:r>
      <w:r w:rsidRPr="00AE0EE2">
        <w:rPr>
          <w:rFonts w:ascii="Garamond" w:hAnsi="Garamond" w:cs="Times New Roman"/>
          <w:sz w:val="23"/>
          <w:szCs w:val="23"/>
          <w:lang w:val="en-US"/>
        </w:rPr>
        <w:t>s opposing ideas and voices are being drowned, political claustrophobia creates a fractured and tense public environment.</w:t>
      </w:r>
    </w:p>
    <w:p w14:paraId="2D3E0DE6" w14:textId="77777777" w:rsidR="008B513C" w:rsidRPr="00AE0EE2" w:rsidRDefault="008B513C" w:rsidP="008B513C">
      <w:pPr>
        <w:rPr>
          <w:rFonts w:ascii="Garamond" w:hAnsi="Garamond" w:cs="Times New Roman"/>
          <w:sz w:val="23"/>
          <w:szCs w:val="23"/>
          <w:lang w:val="en-US"/>
        </w:rPr>
      </w:pPr>
      <w:r w:rsidRPr="00AE0EE2">
        <w:rPr>
          <w:rFonts w:ascii="Garamond" w:hAnsi="Garamond" w:cs="Times New Roman"/>
          <w:sz w:val="23"/>
          <w:szCs w:val="23"/>
          <w:lang w:val="en-US"/>
        </w:rPr>
        <w:t>With the arrest of mayors and MPs and the violent crackdown on protesters, Turkey is experiencing a drastic shift away from rule of law, representative democracy, and civil rights. The targeting of an ethnic minority and the inflammatory rhetoric adopted by senior politicians towards opposition factions of the society are adding an extra urgency to the situation. As this is also a time when important issues, such as the discussions of a new constitution, the possibility of restoring capital punishment, and a possible regime change are undergoing, the absence of elected politicians and leaders in legitimate political platforms is most dangerous for the future of Turkey.</w:t>
      </w:r>
    </w:p>
    <w:p w14:paraId="40A8017A" w14:textId="77777777" w:rsidR="00D41F65" w:rsidRDefault="00D41F65" w:rsidP="00DA55FA">
      <w:pPr>
        <w:jc w:val="center"/>
        <w:rPr>
          <w:rFonts w:ascii="Garamond" w:hAnsi="Garamond" w:cs="Times New Roman"/>
          <w:b/>
          <w:sz w:val="23"/>
          <w:szCs w:val="23"/>
          <w:lang w:val="en-US"/>
        </w:rPr>
      </w:pPr>
    </w:p>
    <w:p w14:paraId="6C4D70FD" w14:textId="77777777" w:rsidR="00990EB2" w:rsidRDefault="00990EB2" w:rsidP="00DA55FA">
      <w:pPr>
        <w:jc w:val="center"/>
        <w:rPr>
          <w:rFonts w:ascii="Garamond" w:hAnsi="Garamond" w:cs="Times New Roman"/>
          <w:b/>
          <w:sz w:val="23"/>
          <w:szCs w:val="23"/>
          <w:lang w:val="en-US"/>
        </w:rPr>
      </w:pPr>
    </w:p>
    <w:p w14:paraId="084D85C2" w14:textId="77777777" w:rsidR="00DA55FA" w:rsidRPr="00D41F65" w:rsidRDefault="00DA55FA" w:rsidP="00DA55FA">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Legislative Background</w:t>
      </w:r>
    </w:p>
    <w:p w14:paraId="21110E30" w14:textId="0B81014C" w:rsidR="00C16AA4" w:rsidRDefault="0056610C">
      <w:pPr>
        <w:rPr>
          <w:rFonts w:ascii="Garamond" w:hAnsi="Garamond" w:cs="Times New Roman"/>
          <w:sz w:val="23"/>
          <w:szCs w:val="23"/>
          <w:lang w:val="en-US"/>
        </w:rPr>
      </w:pPr>
      <w:r>
        <w:rPr>
          <w:rFonts w:ascii="Garamond" w:hAnsi="Garamond" w:cs="Times New Roman"/>
          <w:sz w:val="23"/>
          <w:szCs w:val="23"/>
          <w:lang w:val="en-US"/>
        </w:rPr>
        <w:t xml:space="preserve">Turkey has signed and ratified the </w:t>
      </w:r>
      <w:r w:rsidR="004275A6">
        <w:rPr>
          <w:rFonts w:ascii="Garamond" w:hAnsi="Garamond" w:cs="Times New Roman"/>
          <w:sz w:val="23"/>
          <w:szCs w:val="23"/>
          <w:lang w:val="en-US"/>
        </w:rPr>
        <w:t xml:space="preserve">Universal Declaration of Human Rights, the International Covenant on Civil and Political Rights, </w:t>
      </w:r>
      <w:r w:rsidR="008B47F9">
        <w:rPr>
          <w:rFonts w:ascii="Garamond" w:hAnsi="Garamond" w:cs="Times New Roman"/>
          <w:sz w:val="23"/>
          <w:szCs w:val="23"/>
          <w:lang w:val="en-US"/>
        </w:rPr>
        <w:t>and the Charter of Fundamental Rights of the European Union (ECFR). Turkey has furthermore consolidated these international commitments with an article in its Constitution recognizing the legal precedence of international covenants it is party to. Article 90 of the Turkish Constitution states: “</w:t>
      </w:r>
      <w:r w:rsidR="008B47F9" w:rsidRPr="008B47F9">
        <w:rPr>
          <w:rFonts w:ascii="Garamond" w:hAnsi="Garamond" w:cs="Times New Roman"/>
          <w:sz w:val="23"/>
          <w:szCs w:val="23"/>
          <w:lang w:val="en-US"/>
        </w:rPr>
        <w:t xml:space="preserve">International agreements duly put into effect have the force of law. No appeal to the Constitutional Court shall be made with regard to these agreements, on the grounds that they are unconstitutional. In the case of a conflict between international agreements, duly put into effect, concerning fundamental rights and freedoms and the laws due to differences in </w:t>
      </w:r>
      <w:r w:rsidR="008B47F9">
        <w:rPr>
          <w:rFonts w:ascii="Garamond" w:hAnsi="Garamond" w:cs="Times New Roman"/>
          <w:sz w:val="23"/>
          <w:szCs w:val="23"/>
          <w:lang w:val="en-US"/>
        </w:rPr>
        <w:t>provisions on the same matter, </w:t>
      </w:r>
      <w:r w:rsidR="008B47F9" w:rsidRPr="008B47F9">
        <w:rPr>
          <w:rFonts w:ascii="Garamond" w:hAnsi="Garamond" w:cs="Times New Roman"/>
          <w:sz w:val="23"/>
          <w:szCs w:val="23"/>
          <w:lang w:val="en-US"/>
        </w:rPr>
        <w:t>the provisions of international agreements shall prevail.</w:t>
      </w:r>
      <w:proofErr w:type="gramStart"/>
      <w:r w:rsidR="008B47F9" w:rsidRPr="008B47F9">
        <w:rPr>
          <w:rFonts w:ascii="Garamond" w:hAnsi="Garamond" w:cs="Times New Roman"/>
          <w:sz w:val="23"/>
          <w:szCs w:val="23"/>
          <w:lang w:val="en-US"/>
        </w:rPr>
        <w:t>”</w:t>
      </w:r>
      <w:r w:rsidR="008B47F9">
        <w:rPr>
          <w:rFonts w:ascii="Garamond" w:hAnsi="Garamond" w:cs="Times New Roman"/>
          <w:sz w:val="23"/>
          <w:szCs w:val="23"/>
          <w:lang w:val="en-US"/>
        </w:rPr>
        <w:t>.</w:t>
      </w:r>
      <w:proofErr w:type="gramEnd"/>
      <w:r w:rsidR="008B47F9">
        <w:rPr>
          <w:rFonts w:ascii="Garamond" w:hAnsi="Garamond" w:cs="Times New Roman"/>
          <w:sz w:val="23"/>
          <w:szCs w:val="23"/>
          <w:lang w:val="en-US"/>
        </w:rPr>
        <w:t xml:space="preserve"> This article ensures that, even if the national laws are not compatible with international commitments, the articles of the covenants trump the national laws.</w:t>
      </w:r>
    </w:p>
    <w:p w14:paraId="73C80087" w14:textId="394D7B2F" w:rsidR="008B47F9" w:rsidRDefault="008B47F9" w:rsidP="008B47F9">
      <w:pPr>
        <w:rPr>
          <w:rFonts w:ascii="Garamond" w:hAnsi="Garamond" w:cs="Times New Roman"/>
          <w:sz w:val="23"/>
          <w:szCs w:val="23"/>
          <w:lang w:val="en-US"/>
        </w:rPr>
      </w:pPr>
      <w:r>
        <w:rPr>
          <w:rFonts w:ascii="Garamond" w:hAnsi="Garamond" w:cs="Times New Roman"/>
          <w:sz w:val="23"/>
          <w:szCs w:val="23"/>
          <w:lang w:val="en-US"/>
        </w:rPr>
        <w:t>Despite the daring nature of this commitment, the laws governing right to peaceful assembly in Turkey are woefully restrictive. Article 34 of the Constitution protects the right to hold meetings and demonstration marches. The law states: “</w:t>
      </w:r>
      <w:r w:rsidRPr="008B47F9">
        <w:rPr>
          <w:rFonts w:ascii="Garamond" w:hAnsi="Garamond" w:cs="Times New Roman"/>
          <w:sz w:val="23"/>
          <w:szCs w:val="23"/>
          <w:lang w:val="en-US"/>
        </w:rPr>
        <w:t>Everyone has the right to hold unarmed and peaceful meetings and demonstration marches without prior permission. The right to hold meetings and demonstration marches shall be restricted only by law on the grounds of national security, public order, prevention of commission of crime, protection of public health and public morals or the rights and freedoms of others.</w:t>
      </w:r>
      <w:r>
        <w:rPr>
          <w:rFonts w:ascii="Garamond" w:hAnsi="Garamond" w:cs="Times New Roman"/>
          <w:sz w:val="23"/>
          <w:szCs w:val="23"/>
          <w:lang w:val="en-US"/>
        </w:rPr>
        <w:t xml:space="preserve">” Once again, this article appears to be unequivocal in its commitment to protecting the freedom of assembly. </w:t>
      </w:r>
      <w:r w:rsidR="00AE09EA">
        <w:rPr>
          <w:rFonts w:ascii="Garamond" w:hAnsi="Garamond" w:cs="Times New Roman"/>
          <w:sz w:val="23"/>
          <w:szCs w:val="23"/>
          <w:lang w:val="en-US"/>
        </w:rPr>
        <w:t xml:space="preserve">The criteria for exceptions are compatible with those listed in ECFR. However, this protected right is regulated in other laws, or secondary legislations, in quite a restrictive way. </w:t>
      </w:r>
    </w:p>
    <w:p w14:paraId="16957E43" w14:textId="0AF7D833" w:rsidR="001C0DC9" w:rsidRDefault="00AE09EA" w:rsidP="001C0DC9">
      <w:pPr>
        <w:rPr>
          <w:rFonts w:ascii="Garamond" w:hAnsi="Garamond" w:cs="Times New Roman"/>
          <w:sz w:val="23"/>
          <w:szCs w:val="23"/>
          <w:lang w:val="en-US"/>
        </w:rPr>
      </w:pPr>
      <w:r>
        <w:rPr>
          <w:rFonts w:ascii="Garamond" w:hAnsi="Garamond" w:cs="Times New Roman"/>
          <w:sz w:val="23"/>
          <w:szCs w:val="23"/>
          <w:lang w:val="en-US"/>
        </w:rPr>
        <w:t>The main law that regulates the right to assembly is Law Number 2911, Law on Demonstrations and Public Meetings (Law on As</w:t>
      </w:r>
      <w:r w:rsidR="00990EB2">
        <w:rPr>
          <w:rFonts w:ascii="Garamond" w:hAnsi="Garamond" w:cs="Times New Roman"/>
          <w:sz w:val="23"/>
          <w:szCs w:val="23"/>
          <w:lang w:val="en-US"/>
        </w:rPr>
        <w:t>semblies). This law does not uphold the</w:t>
      </w:r>
      <w:r>
        <w:rPr>
          <w:rFonts w:ascii="Garamond" w:hAnsi="Garamond" w:cs="Times New Roman"/>
          <w:sz w:val="23"/>
          <w:szCs w:val="23"/>
          <w:lang w:val="en-US"/>
        </w:rPr>
        <w:t xml:space="preserve"> international standards of freedom of assembly. Article 6 gives the power to designate what rules and spaces are suitable for assemblies every year to city governors. In Istanbul, for instance, 8 places were designated as suitable in 2016. Article 10 </w:t>
      </w:r>
      <w:r w:rsidRPr="001C0DC9">
        <w:rPr>
          <w:rFonts w:ascii="Garamond" w:hAnsi="Garamond" w:cs="Times New Roman"/>
          <w:sz w:val="23"/>
          <w:szCs w:val="23"/>
          <w:lang w:val="en-US"/>
        </w:rPr>
        <w:t xml:space="preserve">subjects the enjoyment of the right to assembly and demonstration to notification given 48 hours in advance, even though the Constitution states that permission are not required for assemblies. Article 23 suggests that all assemblies are illegal if the notification is not submitted, and forces authorities to intervene. </w:t>
      </w:r>
      <w:r w:rsidR="001C0DC9" w:rsidRPr="001C0DC9">
        <w:rPr>
          <w:rFonts w:ascii="Garamond" w:hAnsi="Garamond" w:cs="Times New Roman"/>
          <w:sz w:val="23"/>
          <w:szCs w:val="23"/>
          <w:lang w:val="en-US"/>
        </w:rPr>
        <w:t xml:space="preserve">Articles 15-19 give public authorities the power to postpone or ban assemblies under governorate territory. The reasons why assemblies could be banned are phrased quite vaguely, and often restated by governors verbatim. According to Article 22, </w:t>
      </w:r>
      <w:r w:rsidRPr="001C0DC9">
        <w:rPr>
          <w:rFonts w:ascii="Garamond" w:hAnsi="Garamond" w:cs="Times New Roman"/>
          <w:sz w:val="23"/>
          <w:szCs w:val="23"/>
          <w:lang w:val="en-US"/>
        </w:rPr>
        <w:t xml:space="preserve">places such as roads, parks, places of worship, public office buildings and a km vicinity of the Parliament are absolutely forbidden venues for assemblies and demonstrations. </w:t>
      </w:r>
      <w:r w:rsidR="001C0DC9" w:rsidRPr="001C0DC9">
        <w:rPr>
          <w:rFonts w:ascii="Garamond" w:hAnsi="Garamond" w:cs="Times New Roman"/>
          <w:sz w:val="23"/>
          <w:szCs w:val="23"/>
          <w:lang w:val="en-US"/>
        </w:rPr>
        <w:t>Articles 28-34 put forth rather extensive punitive measures. Attempting to exercise one’s right to peaceful assembly could lead to up to two years in prison if the variety of ‘hidden obstacles’</w:t>
      </w:r>
      <w:r w:rsidR="001C0DC9">
        <w:rPr>
          <w:rFonts w:ascii="Garamond" w:hAnsi="Garamond" w:cs="Times New Roman"/>
          <w:sz w:val="23"/>
          <w:szCs w:val="23"/>
          <w:lang w:val="en-US"/>
        </w:rPr>
        <w:t>, as phras</w:t>
      </w:r>
      <w:r w:rsidR="001C0DC9" w:rsidRPr="001C0DC9">
        <w:rPr>
          <w:rFonts w:ascii="Garamond" w:hAnsi="Garamond" w:cs="Times New Roman"/>
          <w:sz w:val="23"/>
          <w:szCs w:val="23"/>
          <w:lang w:val="en-US"/>
        </w:rPr>
        <w:t xml:space="preserve">ed by the </w:t>
      </w:r>
      <w:proofErr w:type="spellStart"/>
      <w:r w:rsidR="001C0DC9" w:rsidRPr="001C0DC9">
        <w:rPr>
          <w:rFonts w:ascii="Garamond" w:hAnsi="Garamond" w:cs="Times New Roman"/>
          <w:sz w:val="23"/>
          <w:szCs w:val="23"/>
          <w:lang w:val="en-US"/>
        </w:rPr>
        <w:t>ECtHR</w:t>
      </w:r>
      <w:proofErr w:type="spellEnd"/>
      <w:r w:rsidR="001C0DC9" w:rsidRPr="001C0DC9">
        <w:rPr>
          <w:rFonts w:ascii="Garamond" w:hAnsi="Garamond" w:cs="Times New Roman"/>
          <w:sz w:val="23"/>
          <w:szCs w:val="23"/>
          <w:lang w:val="en-US"/>
        </w:rPr>
        <w:t xml:space="preserve"> on Turkey’s restrictive practices, are encountered.</w:t>
      </w:r>
    </w:p>
    <w:p w14:paraId="4669C7CE" w14:textId="1ADA9A4A" w:rsidR="001C0DC9" w:rsidRPr="00D250D9" w:rsidRDefault="001C0DC9" w:rsidP="001C0DC9">
      <w:pPr>
        <w:rPr>
          <w:rFonts w:cstheme="minorHAnsi"/>
          <w:sz w:val="20"/>
          <w:szCs w:val="20"/>
          <w:lang w:val="en-US"/>
        </w:rPr>
      </w:pPr>
      <w:r>
        <w:rPr>
          <w:rFonts w:ascii="Garamond" w:hAnsi="Garamond" w:cs="Times New Roman"/>
          <w:sz w:val="23"/>
          <w:szCs w:val="23"/>
          <w:lang w:val="en-US"/>
        </w:rPr>
        <w:t>The Law on Assemblies is a regulatory framework that stifles a right protected by the Constitution. The increasing powers of public authorities before, during, and after the assembly threaten an overarching chilling effect where dissenting and minority ideas refrain from using their right to peaceful assembly.</w:t>
      </w:r>
    </w:p>
    <w:p w14:paraId="49E431A4" w14:textId="77777777" w:rsidR="00AE09EA" w:rsidRPr="008B47F9" w:rsidRDefault="00AE09EA" w:rsidP="008B47F9">
      <w:pPr>
        <w:rPr>
          <w:rFonts w:ascii="Garamond" w:hAnsi="Garamond" w:cs="Times New Roman"/>
          <w:sz w:val="23"/>
          <w:szCs w:val="23"/>
          <w:lang w:val="en-US"/>
        </w:rPr>
      </w:pPr>
      <w:bookmarkStart w:id="0" w:name="_GoBack"/>
      <w:bookmarkEnd w:id="0"/>
    </w:p>
    <w:p w14:paraId="17F0C9F9" w14:textId="09D06484" w:rsidR="008B47F9" w:rsidRPr="008B47F9" w:rsidRDefault="008B47F9">
      <w:pPr>
        <w:rPr>
          <w:rFonts w:ascii="Garamond" w:hAnsi="Garamond" w:cs="Times New Roman"/>
          <w:sz w:val="23"/>
          <w:szCs w:val="23"/>
          <w:lang w:val="en-US"/>
        </w:rPr>
      </w:pPr>
    </w:p>
    <w:p w14:paraId="265A0F72" w14:textId="77777777" w:rsidR="00DA55FA" w:rsidRPr="008B47F9" w:rsidRDefault="00DA55FA">
      <w:pPr>
        <w:rPr>
          <w:rFonts w:ascii="Garamond" w:hAnsi="Garamond" w:cs="Times New Roman"/>
          <w:sz w:val="23"/>
          <w:szCs w:val="23"/>
          <w:lang w:val="en-US"/>
        </w:rPr>
      </w:pPr>
    </w:p>
    <w:p w14:paraId="680F513E" w14:textId="77777777" w:rsidR="00DA55FA" w:rsidRPr="00AE0EE2" w:rsidRDefault="00DA55FA">
      <w:pPr>
        <w:rPr>
          <w:rFonts w:ascii="Garamond" w:hAnsi="Garamond" w:cs="Times New Roman"/>
          <w:b/>
          <w:sz w:val="23"/>
          <w:szCs w:val="23"/>
          <w:lang w:val="en-US"/>
        </w:rPr>
      </w:pPr>
    </w:p>
    <w:p w14:paraId="6DA317E1" w14:textId="77777777" w:rsidR="00DA55FA" w:rsidRPr="00D41F65" w:rsidRDefault="00C16AA4" w:rsidP="00DA55FA">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Methodology</w:t>
      </w:r>
    </w:p>
    <w:p w14:paraId="24D8071B" w14:textId="77777777" w:rsidR="004754C2" w:rsidRPr="00AE0EE2" w:rsidRDefault="00FA73B7">
      <w:pPr>
        <w:rPr>
          <w:rFonts w:ascii="Garamond" w:hAnsi="Garamond" w:cs="Times New Roman"/>
          <w:sz w:val="23"/>
          <w:szCs w:val="23"/>
          <w:lang w:val="en-US"/>
        </w:rPr>
      </w:pPr>
      <w:r w:rsidRPr="00AE0EE2">
        <w:rPr>
          <w:rFonts w:ascii="Garamond" w:hAnsi="Garamond" w:cs="Times New Roman"/>
          <w:sz w:val="23"/>
          <w:szCs w:val="23"/>
          <w:lang w:val="en-US"/>
        </w:rPr>
        <w:t xml:space="preserve">AMER has been monitoring the right to peaceful assembly since October 2015. </w:t>
      </w:r>
      <w:r w:rsidR="004754C2" w:rsidRPr="00AE0EE2">
        <w:rPr>
          <w:rFonts w:ascii="Garamond" w:hAnsi="Garamond" w:cs="Times New Roman"/>
          <w:sz w:val="23"/>
          <w:szCs w:val="23"/>
          <w:lang w:val="en-US"/>
        </w:rPr>
        <w:t>The monitoring includes analyzing the Turkish legislation on freedom of peaceful assembly with international standards of the right, violations to the right to peaceful assembly in practice, and discrimination in the implementation of the law.</w:t>
      </w:r>
    </w:p>
    <w:p w14:paraId="0E954DBC" w14:textId="77777777" w:rsidR="00FA73B7" w:rsidRPr="00AE0EE2" w:rsidRDefault="00FA73B7">
      <w:pPr>
        <w:rPr>
          <w:rFonts w:ascii="Garamond" w:hAnsi="Garamond" w:cs="Times New Roman"/>
          <w:sz w:val="23"/>
          <w:szCs w:val="23"/>
          <w:lang w:val="en-US"/>
        </w:rPr>
      </w:pPr>
      <w:r w:rsidRPr="00AE0EE2">
        <w:rPr>
          <w:rFonts w:ascii="Garamond" w:hAnsi="Garamond" w:cs="Times New Roman"/>
          <w:sz w:val="23"/>
          <w:szCs w:val="23"/>
          <w:lang w:val="en-US"/>
        </w:rPr>
        <w:t xml:space="preserve">The data collection occurs through media scans and coding of the news articles according to indicators reflecting the international standards of the right. The categories include the group organizing the protest, type of assembly, methods used in police intervention, number of people detained, the reason for the use of force, etc. </w:t>
      </w:r>
      <w:r w:rsidR="00A57AF2" w:rsidRPr="00AE0EE2">
        <w:rPr>
          <w:rFonts w:ascii="Garamond" w:hAnsi="Garamond" w:cs="Times New Roman"/>
          <w:sz w:val="23"/>
          <w:szCs w:val="23"/>
          <w:lang w:val="en-US"/>
        </w:rPr>
        <w:t xml:space="preserve">AMER also collects data on the specific and general bans on assemblies by governmental authorities. This data is disaggregated and </w:t>
      </w:r>
      <w:r w:rsidR="00375042" w:rsidRPr="00AE0EE2">
        <w:rPr>
          <w:rFonts w:ascii="Garamond" w:hAnsi="Garamond" w:cs="Times New Roman"/>
          <w:sz w:val="23"/>
          <w:szCs w:val="23"/>
          <w:lang w:val="en-US"/>
        </w:rPr>
        <w:t xml:space="preserve">visualized, and later analyzed according to international standards and national laws. </w:t>
      </w:r>
    </w:p>
    <w:p w14:paraId="10D3DE3F" w14:textId="77777777" w:rsidR="00375042" w:rsidRPr="00AE0EE2" w:rsidRDefault="00375042">
      <w:pPr>
        <w:rPr>
          <w:rFonts w:ascii="Garamond" w:hAnsi="Garamond" w:cs="Times New Roman"/>
          <w:sz w:val="23"/>
          <w:szCs w:val="23"/>
          <w:lang w:val="en-US"/>
        </w:rPr>
      </w:pPr>
      <w:r w:rsidRPr="00AE0EE2">
        <w:rPr>
          <w:rFonts w:ascii="Garamond" w:hAnsi="Garamond" w:cs="Times New Roman"/>
          <w:sz w:val="23"/>
          <w:szCs w:val="23"/>
          <w:lang w:val="en-US"/>
        </w:rPr>
        <w:t>AMER also collects qualitative data from its monitoring CSO network, which includes Bar Associations and unions. Although this data is sparse, it usually gives more information on the context of interventions. AMER monitors social media (through twitter handle @</w:t>
      </w:r>
      <w:proofErr w:type="spellStart"/>
      <w:r w:rsidRPr="00AE0EE2">
        <w:rPr>
          <w:rFonts w:ascii="Garamond" w:hAnsi="Garamond" w:cs="Times New Roman"/>
          <w:sz w:val="23"/>
          <w:szCs w:val="23"/>
          <w:lang w:val="en-US"/>
        </w:rPr>
        <w:t>toplantigosteri</w:t>
      </w:r>
      <w:proofErr w:type="spellEnd"/>
      <w:r w:rsidRPr="00AE0EE2">
        <w:rPr>
          <w:rFonts w:ascii="Garamond" w:hAnsi="Garamond" w:cs="Times New Roman"/>
          <w:sz w:val="23"/>
          <w:szCs w:val="23"/>
          <w:lang w:val="en-US"/>
        </w:rPr>
        <w:t>) and shares data on violations to the right to assemble for visibility.</w:t>
      </w:r>
    </w:p>
    <w:p w14:paraId="2B01CC2A" w14:textId="77777777" w:rsidR="00375042" w:rsidRPr="00AE0EE2" w:rsidRDefault="00375042">
      <w:pPr>
        <w:rPr>
          <w:rFonts w:ascii="Garamond" w:hAnsi="Garamond" w:cs="Times New Roman"/>
          <w:sz w:val="23"/>
          <w:szCs w:val="23"/>
          <w:lang w:val="en-US"/>
        </w:rPr>
      </w:pPr>
      <w:r w:rsidRPr="00AE0EE2">
        <w:rPr>
          <w:rFonts w:ascii="Garamond" w:hAnsi="Garamond" w:cs="Times New Roman"/>
          <w:sz w:val="23"/>
          <w:szCs w:val="23"/>
          <w:lang w:val="en-US"/>
        </w:rPr>
        <w:t xml:space="preserve">Due to capacity issues, AMER is not able to collect data on all assemblies that occur or is planned to occur but does not materialize due to bureaucratic hurdles or chilling effect. Therefore, the data collected only gives information on the assemblies that are intervened by the security forces, and does not inform on the extent of discrimination in practices of the state, or the extent to which these measures deter potential assemblies. However, the </w:t>
      </w:r>
      <w:proofErr w:type="gramStart"/>
      <w:r w:rsidRPr="00AE0EE2">
        <w:rPr>
          <w:rFonts w:ascii="Garamond" w:hAnsi="Garamond" w:cs="Times New Roman"/>
          <w:sz w:val="23"/>
          <w:szCs w:val="23"/>
          <w:lang w:val="en-US"/>
        </w:rPr>
        <w:t>use of public spaces banned by governors are</w:t>
      </w:r>
      <w:proofErr w:type="gramEnd"/>
      <w:r w:rsidRPr="00AE0EE2">
        <w:rPr>
          <w:rFonts w:ascii="Garamond" w:hAnsi="Garamond" w:cs="Times New Roman"/>
          <w:sz w:val="23"/>
          <w:szCs w:val="23"/>
          <w:lang w:val="en-US"/>
        </w:rPr>
        <w:t xml:space="preserve"> known to be used by assemblies initiated by the government. Such overarching conclusions are derived from information AMER collects from its CSO network spanning across Turkey. </w:t>
      </w:r>
    </w:p>
    <w:p w14:paraId="7F02205A" w14:textId="77777777" w:rsidR="00DA55FA" w:rsidRPr="00AE0EE2" w:rsidRDefault="00DA55FA">
      <w:pPr>
        <w:rPr>
          <w:rFonts w:ascii="Garamond" w:hAnsi="Garamond" w:cs="Times New Roman"/>
          <w:b/>
          <w:sz w:val="23"/>
          <w:szCs w:val="23"/>
          <w:lang w:val="en-US"/>
        </w:rPr>
      </w:pPr>
    </w:p>
    <w:p w14:paraId="0FA00646" w14:textId="77777777" w:rsidR="00DA55FA" w:rsidRPr="00AE0EE2" w:rsidRDefault="00DA55FA">
      <w:pPr>
        <w:rPr>
          <w:rFonts w:ascii="Garamond" w:hAnsi="Garamond" w:cs="Times New Roman"/>
          <w:b/>
          <w:sz w:val="23"/>
          <w:szCs w:val="23"/>
          <w:lang w:val="en-US"/>
        </w:rPr>
      </w:pPr>
    </w:p>
    <w:p w14:paraId="091D5C5D" w14:textId="77777777" w:rsidR="00DA55FA" w:rsidRPr="00AE0EE2" w:rsidRDefault="00DA55FA">
      <w:pPr>
        <w:rPr>
          <w:rFonts w:ascii="Garamond" w:hAnsi="Garamond" w:cs="Times New Roman"/>
          <w:b/>
          <w:sz w:val="23"/>
          <w:szCs w:val="23"/>
          <w:lang w:val="en-US"/>
        </w:rPr>
      </w:pPr>
    </w:p>
    <w:p w14:paraId="466D005A" w14:textId="77777777" w:rsidR="00DA55FA" w:rsidRPr="00AE0EE2" w:rsidRDefault="00DA55FA">
      <w:pPr>
        <w:rPr>
          <w:rFonts w:ascii="Garamond" w:hAnsi="Garamond" w:cs="Times New Roman"/>
          <w:b/>
          <w:sz w:val="23"/>
          <w:szCs w:val="23"/>
          <w:lang w:val="en-US"/>
        </w:rPr>
      </w:pPr>
    </w:p>
    <w:p w14:paraId="5EB348BF" w14:textId="77777777" w:rsidR="00DA55FA" w:rsidRPr="00AE0EE2" w:rsidRDefault="00DA55FA">
      <w:pPr>
        <w:rPr>
          <w:rFonts w:ascii="Garamond" w:hAnsi="Garamond" w:cs="Times New Roman"/>
          <w:b/>
          <w:sz w:val="23"/>
          <w:szCs w:val="23"/>
          <w:lang w:val="en-US"/>
        </w:rPr>
      </w:pPr>
    </w:p>
    <w:p w14:paraId="1EFAAF3D" w14:textId="77777777" w:rsidR="00DA55FA" w:rsidRPr="00AE0EE2" w:rsidRDefault="00DA55FA">
      <w:pPr>
        <w:rPr>
          <w:rFonts w:ascii="Garamond" w:hAnsi="Garamond" w:cs="Times New Roman"/>
          <w:b/>
          <w:sz w:val="23"/>
          <w:szCs w:val="23"/>
          <w:lang w:val="en-US"/>
        </w:rPr>
      </w:pPr>
    </w:p>
    <w:p w14:paraId="12218790" w14:textId="77777777" w:rsidR="00DA55FA" w:rsidRPr="00AE0EE2" w:rsidRDefault="00DA55FA">
      <w:pPr>
        <w:rPr>
          <w:rFonts w:ascii="Garamond" w:hAnsi="Garamond" w:cs="Times New Roman"/>
          <w:b/>
          <w:sz w:val="23"/>
          <w:szCs w:val="23"/>
          <w:lang w:val="en-US"/>
        </w:rPr>
      </w:pPr>
    </w:p>
    <w:p w14:paraId="2B5A4EF8" w14:textId="77777777" w:rsidR="00DA55FA" w:rsidRPr="00AE0EE2" w:rsidRDefault="00DA55FA">
      <w:pPr>
        <w:rPr>
          <w:rFonts w:ascii="Garamond" w:hAnsi="Garamond" w:cs="Times New Roman"/>
          <w:b/>
          <w:sz w:val="23"/>
          <w:szCs w:val="23"/>
          <w:lang w:val="en-US"/>
        </w:rPr>
      </w:pPr>
    </w:p>
    <w:p w14:paraId="429447A7" w14:textId="77777777" w:rsidR="00AE0EE2" w:rsidRPr="00AE0EE2" w:rsidRDefault="00AE0EE2" w:rsidP="00DA55FA">
      <w:pPr>
        <w:jc w:val="center"/>
        <w:rPr>
          <w:rFonts w:ascii="Garamond" w:hAnsi="Garamond" w:cs="Times New Roman"/>
          <w:b/>
          <w:sz w:val="23"/>
          <w:szCs w:val="23"/>
          <w:lang w:val="en-US"/>
        </w:rPr>
      </w:pPr>
    </w:p>
    <w:p w14:paraId="4D8D970D" w14:textId="77777777" w:rsidR="00AE0EE2" w:rsidRPr="00AE0EE2" w:rsidRDefault="00AE0EE2" w:rsidP="00DA55FA">
      <w:pPr>
        <w:jc w:val="center"/>
        <w:rPr>
          <w:rFonts w:ascii="Garamond" w:hAnsi="Garamond" w:cs="Times New Roman"/>
          <w:b/>
          <w:sz w:val="23"/>
          <w:szCs w:val="23"/>
          <w:lang w:val="en-US"/>
        </w:rPr>
      </w:pPr>
    </w:p>
    <w:p w14:paraId="4BE8AF34" w14:textId="77777777" w:rsidR="00AE0EE2" w:rsidRPr="00AE0EE2" w:rsidRDefault="00AE0EE2" w:rsidP="00DA55FA">
      <w:pPr>
        <w:jc w:val="center"/>
        <w:rPr>
          <w:rFonts w:ascii="Garamond" w:hAnsi="Garamond" w:cs="Times New Roman"/>
          <w:b/>
          <w:sz w:val="23"/>
          <w:szCs w:val="23"/>
          <w:lang w:val="en-US"/>
        </w:rPr>
      </w:pPr>
    </w:p>
    <w:p w14:paraId="389643CB" w14:textId="77777777" w:rsidR="00AE0EE2" w:rsidRPr="00AE0EE2" w:rsidRDefault="00AE0EE2" w:rsidP="00DA55FA">
      <w:pPr>
        <w:jc w:val="center"/>
        <w:rPr>
          <w:rFonts w:ascii="Garamond" w:hAnsi="Garamond" w:cs="Times New Roman"/>
          <w:b/>
          <w:sz w:val="23"/>
          <w:szCs w:val="23"/>
          <w:lang w:val="en-US"/>
        </w:rPr>
      </w:pPr>
    </w:p>
    <w:p w14:paraId="77B39DC8" w14:textId="77777777" w:rsidR="00AE0EE2" w:rsidRPr="00AE0EE2" w:rsidRDefault="00AE0EE2" w:rsidP="00DA55FA">
      <w:pPr>
        <w:jc w:val="center"/>
        <w:rPr>
          <w:rFonts w:ascii="Garamond" w:hAnsi="Garamond" w:cs="Times New Roman"/>
          <w:b/>
          <w:sz w:val="23"/>
          <w:szCs w:val="23"/>
          <w:lang w:val="en-US"/>
        </w:rPr>
      </w:pPr>
    </w:p>
    <w:p w14:paraId="40B8F618" w14:textId="77777777" w:rsidR="00AE0EE2" w:rsidRPr="00AE0EE2" w:rsidRDefault="00AE0EE2" w:rsidP="00DA55FA">
      <w:pPr>
        <w:jc w:val="center"/>
        <w:rPr>
          <w:rFonts w:ascii="Garamond" w:hAnsi="Garamond" w:cs="Times New Roman"/>
          <w:b/>
          <w:sz w:val="23"/>
          <w:szCs w:val="23"/>
          <w:lang w:val="en-US"/>
        </w:rPr>
      </w:pPr>
    </w:p>
    <w:p w14:paraId="12C5DB0D" w14:textId="77777777" w:rsidR="00D41F65" w:rsidRDefault="00D41F65" w:rsidP="00DA55FA">
      <w:pPr>
        <w:jc w:val="center"/>
        <w:rPr>
          <w:rFonts w:ascii="Garamond" w:hAnsi="Garamond" w:cs="Times New Roman"/>
          <w:b/>
          <w:sz w:val="23"/>
          <w:szCs w:val="23"/>
          <w:lang w:val="en-US"/>
        </w:rPr>
      </w:pPr>
    </w:p>
    <w:p w14:paraId="4B713D84" w14:textId="77777777" w:rsidR="00D41F65" w:rsidRDefault="00D41F65" w:rsidP="00DA55FA">
      <w:pPr>
        <w:jc w:val="center"/>
        <w:rPr>
          <w:rFonts w:ascii="Garamond" w:hAnsi="Garamond" w:cs="Times New Roman"/>
          <w:b/>
          <w:sz w:val="23"/>
          <w:szCs w:val="23"/>
          <w:lang w:val="en-US"/>
        </w:rPr>
      </w:pPr>
    </w:p>
    <w:p w14:paraId="5251C8D8" w14:textId="77777777" w:rsidR="00C16AA4" w:rsidRPr="00D41F65" w:rsidRDefault="00604156" w:rsidP="00DA55FA">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Monitoring Findings</w:t>
      </w:r>
    </w:p>
    <w:p w14:paraId="2692E2C8" w14:textId="77777777" w:rsidR="00C32746" w:rsidRPr="00AE0EE2" w:rsidRDefault="00375042">
      <w:pPr>
        <w:rPr>
          <w:rFonts w:ascii="Garamond" w:hAnsi="Garamond" w:cs="Times New Roman"/>
          <w:sz w:val="23"/>
          <w:szCs w:val="23"/>
          <w:lang w:val="en-US"/>
        </w:rPr>
      </w:pPr>
      <w:r w:rsidRPr="00AE0EE2">
        <w:rPr>
          <w:rFonts w:ascii="Garamond" w:hAnsi="Garamond" w:cs="Times New Roman"/>
          <w:sz w:val="23"/>
          <w:szCs w:val="23"/>
          <w:lang w:val="en-US"/>
        </w:rPr>
        <w:t xml:space="preserve">AMER conceptualizes violations to the right to peaceful assembly in three phases: before the assembly, during the assembly, and after the assembly. </w:t>
      </w:r>
    </w:p>
    <w:p w14:paraId="6C12E41A" w14:textId="77777777" w:rsidR="00C32746" w:rsidRPr="00AE0EE2" w:rsidRDefault="00C32746">
      <w:pPr>
        <w:rPr>
          <w:rFonts w:ascii="Garamond" w:hAnsi="Garamond" w:cs="Times New Roman"/>
          <w:i/>
          <w:sz w:val="23"/>
          <w:szCs w:val="23"/>
          <w:lang w:val="en-US"/>
        </w:rPr>
      </w:pPr>
      <w:r w:rsidRPr="00AE0EE2">
        <w:rPr>
          <w:rFonts w:ascii="Garamond" w:hAnsi="Garamond" w:cs="Times New Roman"/>
          <w:i/>
          <w:sz w:val="23"/>
          <w:szCs w:val="23"/>
          <w:lang w:val="en-US"/>
        </w:rPr>
        <w:t>Before the Assembly</w:t>
      </w:r>
    </w:p>
    <w:p w14:paraId="2BC5A44B" w14:textId="77777777" w:rsidR="00375042" w:rsidRPr="00AE0EE2" w:rsidRDefault="00375042">
      <w:pPr>
        <w:rPr>
          <w:rFonts w:ascii="Garamond" w:hAnsi="Garamond" w:cs="Times New Roman"/>
          <w:sz w:val="23"/>
          <w:szCs w:val="23"/>
          <w:lang w:val="en-US"/>
        </w:rPr>
      </w:pPr>
      <w:r w:rsidRPr="00AE0EE2">
        <w:rPr>
          <w:rFonts w:ascii="Garamond" w:hAnsi="Garamond" w:cs="Times New Roman"/>
          <w:sz w:val="23"/>
          <w:szCs w:val="23"/>
          <w:lang w:val="en-US"/>
        </w:rPr>
        <w:t xml:space="preserve">As explained above, </w:t>
      </w:r>
      <w:r w:rsidR="00DA08DD" w:rsidRPr="00AE0EE2">
        <w:rPr>
          <w:rFonts w:ascii="Garamond" w:hAnsi="Garamond" w:cs="Times New Roman"/>
          <w:sz w:val="23"/>
          <w:szCs w:val="23"/>
          <w:lang w:val="en-US"/>
        </w:rPr>
        <w:t>freedom of assembly is a Constitutional right in Turkey. However, legislation allows a</w:t>
      </w:r>
      <w:r w:rsidR="00C32746" w:rsidRPr="00AE0EE2">
        <w:rPr>
          <w:rFonts w:ascii="Garamond" w:hAnsi="Garamond" w:cs="Times New Roman"/>
          <w:sz w:val="23"/>
          <w:szCs w:val="23"/>
          <w:lang w:val="en-US"/>
        </w:rPr>
        <w:t>uthorities significant powers to declare</w:t>
      </w:r>
      <w:r w:rsidR="00DA08DD" w:rsidRPr="00AE0EE2">
        <w:rPr>
          <w:rFonts w:ascii="Garamond" w:hAnsi="Garamond" w:cs="Times New Roman"/>
          <w:sz w:val="23"/>
          <w:szCs w:val="23"/>
          <w:lang w:val="en-US"/>
        </w:rPr>
        <w:t xml:space="preserve"> overall bans</w:t>
      </w:r>
      <w:r w:rsidR="00C32746" w:rsidRPr="00AE0EE2">
        <w:rPr>
          <w:rFonts w:ascii="Garamond" w:hAnsi="Garamond" w:cs="Times New Roman"/>
          <w:sz w:val="23"/>
          <w:szCs w:val="23"/>
          <w:lang w:val="en-US"/>
        </w:rPr>
        <w:t xml:space="preserve"> on assemblies</w:t>
      </w:r>
      <w:r w:rsidR="00DA08DD" w:rsidRPr="00AE0EE2">
        <w:rPr>
          <w:rFonts w:ascii="Garamond" w:hAnsi="Garamond" w:cs="Times New Roman"/>
          <w:sz w:val="23"/>
          <w:szCs w:val="23"/>
          <w:lang w:val="en-US"/>
        </w:rPr>
        <w:t xml:space="preserve">, bans on specific </w:t>
      </w:r>
      <w:r w:rsidR="00C32746" w:rsidRPr="00AE0EE2">
        <w:rPr>
          <w:rFonts w:ascii="Garamond" w:hAnsi="Garamond" w:cs="Times New Roman"/>
          <w:sz w:val="23"/>
          <w:szCs w:val="23"/>
          <w:lang w:val="en-US"/>
        </w:rPr>
        <w:t>assemblies, and bans on sp</w:t>
      </w:r>
      <w:r w:rsidR="00802A78" w:rsidRPr="00AE0EE2">
        <w:rPr>
          <w:rFonts w:ascii="Garamond" w:hAnsi="Garamond" w:cs="Times New Roman"/>
          <w:sz w:val="23"/>
          <w:szCs w:val="23"/>
          <w:lang w:val="en-US"/>
        </w:rPr>
        <w:t xml:space="preserve">aces for assemblies. </w:t>
      </w:r>
    </w:p>
    <w:p w14:paraId="583CABFC" w14:textId="77777777" w:rsidR="00802A78" w:rsidRPr="00AE0EE2" w:rsidRDefault="00802A78">
      <w:pPr>
        <w:rPr>
          <w:rFonts w:ascii="Garamond" w:hAnsi="Garamond" w:cs="Times New Roman"/>
          <w:sz w:val="23"/>
          <w:szCs w:val="23"/>
          <w:lang w:val="en-US"/>
        </w:rPr>
      </w:pPr>
      <w:r w:rsidRPr="00AE0EE2">
        <w:rPr>
          <w:rFonts w:ascii="Garamond" w:hAnsi="Garamond" w:cs="Times New Roman"/>
          <w:sz w:val="23"/>
          <w:szCs w:val="23"/>
          <w:lang w:val="en-US"/>
        </w:rPr>
        <w:t xml:space="preserve">During the monitoring period, 49 bans on assemblies were recorded. </w:t>
      </w:r>
      <w:r w:rsidR="005E294E" w:rsidRPr="00AE0EE2">
        <w:rPr>
          <w:rFonts w:ascii="Garamond" w:hAnsi="Garamond" w:cs="Times New Roman"/>
          <w:sz w:val="23"/>
          <w:szCs w:val="23"/>
          <w:lang w:val="en-US"/>
        </w:rPr>
        <w:t xml:space="preserve">Most bans includes the entire city territory. </w:t>
      </w:r>
      <w:r w:rsidRPr="00AE0EE2">
        <w:rPr>
          <w:rFonts w:ascii="Garamond" w:hAnsi="Garamond" w:cs="Times New Roman"/>
          <w:sz w:val="23"/>
          <w:szCs w:val="23"/>
          <w:lang w:val="en-US"/>
        </w:rPr>
        <w:t xml:space="preserve">The duration of the bans varied from one day to indefinitely. The planned events were most commonly banned for ‘potential acts of violence that could occur before, during, or after the event’. </w:t>
      </w:r>
      <w:r w:rsidR="00747472" w:rsidRPr="00AE0EE2">
        <w:rPr>
          <w:rFonts w:ascii="Garamond" w:hAnsi="Garamond" w:cs="Times New Roman"/>
          <w:sz w:val="23"/>
          <w:szCs w:val="23"/>
          <w:lang w:val="en-US"/>
        </w:rPr>
        <w:t>Similarly, overarching reasons outlining conditions under which assemblies could be banned, stated in Article 34/2 of the Constitution, such as ‘national security, public order, prevention of criminal activity, preservation of public health, public morals, and others’ rights and freedoms’ are often</w:t>
      </w:r>
      <w:r w:rsidR="00E83755" w:rsidRPr="00AE0EE2">
        <w:rPr>
          <w:rFonts w:ascii="Garamond" w:hAnsi="Garamond" w:cs="Times New Roman"/>
          <w:sz w:val="23"/>
          <w:szCs w:val="23"/>
          <w:lang w:val="en-US"/>
        </w:rPr>
        <w:t xml:space="preserve"> used to justify assembly bans with no context or specification. </w:t>
      </w:r>
    </w:p>
    <w:p w14:paraId="2A9EBB1D" w14:textId="77777777" w:rsidR="00A01AA1" w:rsidRPr="00AE0EE2" w:rsidRDefault="00E83755">
      <w:pPr>
        <w:rPr>
          <w:rFonts w:ascii="Garamond" w:hAnsi="Garamond" w:cs="Times New Roman"/>
          <w:sz w:val="23"/>
          <w:szCs w:val="23"/>
          <w:lang w:val="en-US"/>
        </w:rPr>
      </w:pPr>
      <w:r w:rsidRPr="00AE0EE2">
        <w:rPr>
          <w:rFonts w:ascii="Garamond" w:hAnsi="Garamond" w:cs="Times New Roman"/>
          <w:sz w:val="23"/>
          <w:szCs w:val="23"/>
          <w:lang w:val="en-US"/>
        </w:rPr>
        <w:t>For instance, the Governor of Konya banned all possible events and collective actions on December 17</w:t>
      </w:r>
      <w:r w:rsidRPr="00AE0EE2">
        <w:rPr>
          <w:rFonts w:ascii="Garamond" w:hAnsi="Garamond" w:cs="Times New Roman"/>
          <w:sz w:val="23"/>
          <w:szCs w:val="23"/>
          <w:vertAlign w:val="superscript"/>
          <w:lang w:val="en-US"/>
        </w:rPr>
        <w:t>th</w:t>
      </w:r>
      <w:r w:rsidRPr="00AE0EE2">
        <w:rPr>
          <w:rFonts w:ascii="Garamond" w:hAnsi="Garamond" w:cs="Times New Roman"/>
          <w:sz w:val="23"/>
          <w:szCs w:val="23"/>
          <w:lang w:val="en-US"/>
        </w:rPr>
        <w:t xml:space="preserve">, 2015, due to celebrations of </w:t>
      </w:r>
      <w:proofErr w:type="spellStart"/>
      <w:r w:rsidRPr="00AE0EE2">
        <w:rPr>
          <w:rFonts w:ascii="Times New Roman" w:hAnsi="Times New Roman" w:cs="Times New Roman"/>
          <w:sz w:val="23"/>
          <w:szCs w:val="23"/>
          <w:lang w:val="en-US"/>
        </w:rPr>
        <w:t>Ş</w:t>
      </w:r>
      <w:r w:rsidRPr="00AE0EE2">
        <w:rPr>
          <w:rFonts w:ascii="Garamond" w:hAnsi="Garamond" w:cs="Times New Roman"/>
          <w:sz w:val="23"/>
          <w:szCs w:val="23"/>
          <w:lang w:val="en-US"/>
        </w:rPr>
        <w:t>eb-</w:t>
      </w:r>
      <w:r w:rsidR="00A01AA1" w:rsidRPr="00AE0EE2">
        <w:rPr>
          <w:rFonts w:ascii="Garamond" w:hAnsi="Garamond" w:cs="Times New Roman"/>
          <w:sz w:val="23"/>
          <w:szCs w:val="23"/>
          <w:lang w:val="en-US"/>
        </w:rPr>
        <w:t>i</w:t>
      </w:r>
      <w:proofErr w:type="spellEnd"/>
      <w:r w:rsidRPr="00AE0EE2">
        <w:rPr>
          <w:rFonts w:ascii="Garamond" w:hAnsi="Garamond" w:cs="Times New Roman"/>
          <w:sz w:val="23"/>
          <w:szCs w:val="23"/>
          <w:lang w:val="en-US"/>
        </w:rPr>
        <w:t xml:space="preserve"> </w:t>
      </w:r>
      <w:proofErr w:type="spellStart"/>
      <w:r w:rsidRPr="00AE0EE2">
        <w:rPr>
          <w:rFonts w:ascii="Garamond" w:hAnsi="Garamond" w:cs="Times New Roman"/>
          <w:sz w:val="23"/>
          <w:szCs w:val="23"/>
          <w:lang w:val="en-US"/>
        </w:rPr>
        <w:t>Arus</w:t>
      </w:r>
      <w:proofErr w:type="spellEnd"/>
      <w:r w:rsidRPr="00AE0EE2">
        <w:rPr>
          <w:rFonts w:ascii="Garamond" w:hAnsi="Garamond" w:cs="Times New Roman"/>
          <w:sz w:val="23"/>
          <w:szCs w:val="23"/>
          <w:lang w:val="en-US"/>
        </w:rPr>
        <w:t xml:space="preserve">, a religious holiday of the Sufis. The justification of the ban was stated as: “Information was gathered that various protests could take place by certain marginal groups during the </w:t>
      </w:r>
      <w:r w:rsidR="00A01AA1" w:rsidRPr="00AE0EE2">
        <w:rPr>
          <w:rFonts w:ascii="Garamond" w:hAnsi="Garamond" w:cs="Times New Roman"/>
          <w:sz w:val="23"/>
          <w:szCs w:val="23"/>
          <w:lang w:val="en-US"/>
        </w:rPr>
        <w:t xml:space="preserve">events and memorial ceremonies to be attended by senior members of the government. In light of the terror activities inflicting our country, it was determined that such protests could lead to clashes between opposing groups and jeopardize the safety and security of esteemed members of the government, representatives of foreign nations, and our citizens visiting our city”. The vague suggestion of intelligence received on potential conflict, prioritization of the comfort of the members of the government, and reference to marginal groups and terror activities exemplify the preemptive and arbitrary nature of most of the bans on freedom of assembly. </w:t>
      </w:r>
    </w:p>
    <w:p w14:paraId="267D15D6" w14:textId="77777777" w:rsidR="00A01AA1" w:rsidRPr="00AE0EE2" w:rsidRDefault="00A01AA1">
      <w:pPr>
        <w:rPr>
          <w:rFonts w:ascii="Garamond" w:hAnsi="Garamond" w:cs="Times New Roman"/>
          <w:sz w:val="23"/>
          <w:szCs w:val="23"/>
          <w:lang w:val="en-US"/>
        </w:rPr>
      </w:pPr>
      <w:r w:rsidRPr="00AE0EE2">
        <w:rPr>
          <w:rFonts w:ascii="Garamond" w:hAnsi="Garamond" w:cs="Times New Roman"/>
          <w:b/>
          <w:noProof/>
          <w:sz w:val="23"/>
          <w:szCs w:val="23"/>
          <w:lang w:val="en-US"/>
        </w:rPr>
        <w:drawing>
          <wp:inline distT="0" distB="0" distL="0" distR="0" wp14:anchorId="05282B6B" wp14:editId="711648D6">
            <wp:extent cx="5760720" cy="3162300"/>
            <wp:effectExtent l="0" t="0" r="1143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BB8577" w14:textId="77777777" w:rsidR="00A01AA1" w:rsidRPr="00AE0EE2" w:rsidRDefault="005E294E">
      <w:pPr>
        <w:rPr>
          <w:rFonts w:ascii="Garamond" w:hAnsi="Garamond" w:cs="Times New Roman"/>
          <w:sz w:val="23"/>
          <w:szCs w:val="23"/>
          <w:lang w:val="en-US"/>
        </w:rPr>
      </w:pPr>
      <w:r w:rsidRPr="00AE0EE2">
        <w:rPr>
          <w:rFonts w:ascii="Garamond" w:hAnsi="Garamond" w:cs="Times New Roman"/>
          <w:sz w:val="23"/>
          <w:szCs w:val="23"/>
          <w:lang w:val="en-US"/>
        </w:rPr>
        <w:t xml:space="preserve">Another interesting overall ban was announced in </w:t>
      </w:r>
      <w:proofErr w:type="spellStart"/>
      <w:r w:rsidRPr="00AE0EE2">
        <w:rPr>
          <w:rFonts w:ascii="Garamond" w:hAnsi="Garamond" w:cs="Times New Roman"/>
          <w:sz w:val="23"/>
          <w:szCs w:val="23"/>
          <w:lang w:val="en-US"/>
        </w:rPr>
        <w:t>Kilis</w:t>
      </w:r>
      <w:proofErr w:type="spellEnd"/>
      <w:r w:rsidRPr="00AE0EE2">
        <w:rPr>
          <w:rFonts w:ascii="Garamond" w:hAnsi="Garamond" w:cs="Times New Roman"/>
          <w:sz w:val="23"/>
          <w:szCs w:val="23"/>
          <w:lang w:val="en-US"/>
        </w:rPr>
        <w:t xml:space="preserve">: “Due to the start of student registrations to the 7 </w:t>
      </w:r>
      <w:proofErr w:type="spellStart"/>
      <w:r w:rsidRPr="00AE0EE2">
        <w:rPr>
          <w:rFonts w:ascii="Garamond" w:hAnsi="Garamond" w:cs="Times New Roman"/>
          <w:sz w:val="23"/>
          <w:szCs w:val="23"/>
          <w:lang w:val="en-US"/>
        </w:rPr>
        <w:t>Aralık</w:t>
      </w:r>
      <w:proofErr w:type="spellEnd"/>
      <w:r w:rsidRPr="00AE0EE2">
        <w:rPr>
          <w:rFonts w:ascii="Garamond" w:hAnsi="Garamond" w:cs="Times New Roman"/>
          <w:sz w:val="23"/>
          <w:szCs w:val="23"/>
          <w:lang w:val="en-US"/>
        </w:rPr>
        <w:t xml:space="preserve"> University on 15/08/2016, all closed or open assemblies, marches, demonstrations, setting up stands and tents, making press statements, putting up posters, handing out brochures and leaflets etc. activities near the university and the dorms are BANNED for thirty (30) days, starting on </w:t>
      </w:r>
      <w:r w:rsidRPr="00AE0EE2">
        <w:rPr>
          <w:rFonts w:ascii="Garamond" w:hAnsi="Garamond" w:cs="Times New Roman"/>
          <w:sz w:val="23"/>
          <w:szCs w:val="23"/>
          <w:lang w:val="en-US"/>
        </w:rPr>
        <w:lastRenderedPageBreak/>
        <w:t xml:space="preserve">13/08/2016”. Bans were also sometimes announced a day after they started, and included any action remotely resembling protest or assembly. </w:t>
      </w:r>
      <w:r w:rsidR="00904307" w:rsidRPr="00AE0EE2">
        <w:rPr>
          <w:rFonts w:ascii="Garamond" w:hAnsi="Garamond" w:cs="Times New Roman"/>
          <w:sz w:val="23"/>
          <w:szCs w:val="23"/>
          <w:lang w:val="en-US"/>
        </w:rPr>
        <w:t xml:space="preserve">Interesting bans included ‘chaining oneself’, ‘collectively closing commercial establishments’, </w:t>
      </w:r>
      <w:proofErr w:type="gramStart"/>
      <w:r w:rsidR="00904307" w:rsidRPr="00AE0EE2">
        <w:rPr>
          <w:rFonts w:ascii="Garamond" w:hAnsi="Garamond" w:cs="Times New Roman"/>
          <w:sz w:val="23"/>
          <w:szCs w:val="23"/>
          <w:lang w:val="en-US"/>
        </w:rPr>
        <w:t>‘collectively</w:t>
      </w:r>
      <w:proofErr w:type="gramEnd"/>
      <w:r w:rsidR="00904307" w:rsidRPr="00AE0EE2">
        <w:rPr>
          <w:rFonts w:ascii="Garamond" w:hAnsi="Garamond" w:cs="Times New Roman"/>
          <w:sz w:val="23"/>
          <w:szCs w:val="23"/>
          <w:lang w:val="en-US"/>
        </w:rPr>
        <w:t xml:space="preserve"> reading the newspaper’. </w:t>
      </w:r>
    </w:p>
    <w:p w14:paraId="5FFBEE16" w14:textId="77777777" w:rsidR="00255D67" w:rsidRPr="00AE0EE2" w:rsidRDefault="00255D67">
      <w:pPr>
        <w:rPr>
          <w:rFonts w:ascii="Garamond" w:hAnsi="Garamond" w:cs="Times New Roman"/>
          <w:sz w:val="23"/>
          <w:szCs w:val="23"/>
          <w:lang w:val="en-US"/>
        </w:rPr>
      </w:pPr>
      <w:r w:rsidRPr="00AE0EE2">
        <w:rPr>
          <w:rFonts w:ascii="Garamond" w:hAnsi="Garamond" w:cs="Times New Roman"/>
          <w:sz w:val="23"/>
          <w:szCs w:val="23"/>
          <w:lang w:val="en-US"/>
        </w:rPr>
        <w:t xml:space="preserve">The announcement of the State of Emergency was observed to have an important effect on the bans on assemblies. Of the 49 </w:t>
      </w:r>
      <w:proofErr w:type="gramStart"/>
      <w:r w:rsidRPr="00AE0EE2">
        <w:rPr>
          <w:rFonts w:ascii="Garamond" w:hAnsi="Garamond" w:cs="Times New Roman"/>
          <w:sz w:val="23"/>
          <w:szCs w:val="23"/>
          <w:lang w:val="en-US"/>
        </w:rPr>
        <w:t>city-wide</w:t>
      </w:r>
      <w:proofErr w:type="gramEnd"/>
      <w:r w:rsidRPr="00AE0EE2">
        <w:rPr>
          <w:rFonts w:ascii="Garamond" w:hAnsi="Garamond" w:cs="Times New Roman"/>
          <w:sz w:val="23"/>
          <w:szCs w:val="23"/>
          <w:lang w:val="en-US"/>
        </w:rPr>
        <w:t xml:space="preserve"> bans on assemblies, 31 referenced the Law on State of Emergencies (Legislation No. 2935). </w:t>
      </w:r>
      <w:r w:rsidR="005A74C7" w:rsidRPr="00AE0EE2">
        <w:rPr>
          <w:rFonts w:ascii="Garamond" w:hAnsi="Garamond" w:cs="Times New Roman"/>
          <w:sz w:val="23"/>
          <w:szCs w:val="23"/>
          <w:lang w:val="en-US"/>
        </w:rPr>
        <w:t xml:space="preserve">In 13 provinces, all assemblies, press statements, concerts, theater performances, collective actions, and forms of protest were made subject to permission due to the State of Emergency. In the city of </w:t>
      </w:r>
      <w:proofErr w:type="spellStart"/>
      <w:r w:rsidR="005A74C7" w:rsidRPr="00AE0EE2">
        <w:rPr>
          <w:rFonts w:ascii="Garamond" w:hAnsi="Garamond" w:cs="Times New Roman"/>
          <w:sz w:val="23"/>
          <w:szCs w:val="23"/>
          <w:lang w:val="en-US"/>
        </w:rPr>
        <w:t>Tunceli</w:t>
      </w:r>
      <w:proofErr w:type="spellEnd"/>
      <w:r w:rsidR="005A74C7" w:rsidRPr="00AE0EE2">
        <w:rPr>
          <w:rFonts w:ascii="Garamond" w:hAnsi="Garamond" w:cs="Times New Roman"/>
          <w:sz w:val="23"/>
          <w:szCs w:val="23"/>
          <w:lang w:val="en-US"/>
        </w:rPr>
        <w:t xml:space="preserve">, all events under the purview of the Law on Assemblies were banned for the duration of the State of Emergency. </w:t>
      </w:r>
      <w:r w:rsidRPr="00AE0EE2">
        <w:rPr>
          <w:rFonts w:ascii="Garamond" w:hAnsi="Garamond" w:cs="Times New Roman"/>
          <w:sz w:val="23"/>
          <w:szCs w:val="23"/>
          <w:lang w:val="en-US"/>
        </w:rPr>
        <w:t>On the other hand, bans with references to laws that regulate assemblies and the role of governors were 25 and 24 respectively, which suggests that systematic issues on the regulation of assemblies exist in Turkish legislation.</w:t>
      </w:r>
    </w:p>
    <w:p w14:paraId="5EE9A33F" w14:textId="77777777" w:rsidR="00255D67" w:rsidRPr="00AE0EE2" w:rsidRDefault="00255D67">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63360" behindDoc="0" locked="0" layoutInCell="1" allowOverlap="1" wp14:anchorId="7EF536F2" wp14:editId="2049CFD6">
            <wp:simplePos x="0" y="0"/>
            <wp:positionH relativeFrom="margin">
              <wp:align>center</wp:align>
            </wp:positionH>
            <wp:positionV relativeFrom="paragraph">
              <wp:posOffset>12700</wp:posOffset>
            </wp:positionV>
            <wp:extent cx="4572000" cy="2743200"/>
            <wp:effectExtent l="0" t="0" r="0" b="0"/>
            <wp:wrapSquare wrapText="bothSides"/>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4289F3F" w14:textId="77777777" w:rsidR="00A342DF" w:rsidRPr="00AE0EE2" w:rsidRDefault="00A342DF">
      <w:pPr>
        <w:rPr>
          <w:rFonts w:ascii="Garamond" w:hAnsi="Garamond" w:cs="Times New Roman"/>
          <w:sz w:val="23"/>
          <w:szCs w:val="23"/>
          <w:lang w:val="en-US"/>
        </w:rPr>
      </w:pPr>
    </w:p>
    <w:p w14:paraId="65721B49" w14:textId="77777777" w:rsidR="00A342DF" w:rsidRPr="00AE0EE2" w:rsidRDefault="00A342DF">
      <w:pPr>
        <w:rPr>
          <w:rFonts w:ascii="Garamond" w:hAnsi="Garamond" w:cs="Times New Roman"/>
          <w:sz w:val="23"/>
          <w:szCs w:val="23"/>
          <w:lang w:val="en-US"/>
        </w:rPr>
      </w:pPr>
    </w:p>
    <w:p w14:paraId="658DB2D5" w14:textId="77777777" w:rsidR="00A342DF" w:rsidRPr="00AE0EE2" w:rsidRDefault="00A342DF">
      <w:pPr>
        <w:rPr>
          <w:rFonts w:ascii="Garamond" w:hAnsi="Garamond" w:cs="Times New Roman"/>
          <w:sz w:val="23"/>
          <w:szCs w:val="23"/>
          <w:lang w:val="en-US"/>
        </w:rPr>
      </w:pPr>
    </w:p>
    <w:p w14:paraId="08128420" w14:textId="77777777" w:rsidR="00A342DF" w:rsidRPr="00AE0EE2" w:rsidRDefault="00A342DF">
      <w:pPr>
        <w:rPr>
          <w:rFonts w:ascii="Garamond" w:hAnsi="Garamond" w:cs="Times New Roman"/>
          <w:sz w:val="23"/>
          <w:szCs w:val="23"/>
          <w:lang w:val="en-US"/>
        </w:rPr>
      </w:pPr>
    </w:p>
    <w:p w14:paraId="496384EF" w14:textId="77777777" w:rsidR="00A342DF" w:rsidRPr="00AE0EE2" w:rsidRDefault="00A342DF">
      <w:pPr>
        <w:rPr>
          <w:rFonts w:ascii="Garamond" w:hAnsi="Garamond" w:cs="Times New Roman"/>
          <w:sz w:val="23"/>
          <w:szCs w:val="23"/>
          <w:lang w:val="en-US"/>
        </w:rPr>
      </w:pPr>
    </w:p>
    <w:p w14:paraId="09EF9F57" w14:textId="77777777" w:rsidR="00A342DF" w:rsidRPr="00AE0EE2" w:rsidRDefault="00A342DF">
      <w:pPr>
        <w:rPr>
          <w:rFonts w:ascii="Garamond" w:hAnsi="Garamond" w:cs="Times New Roman"/>
          <w:sz w:val="23"/>
          <w:szCs w:val="23"/>
          <w:lang w:val="en-US"/>
        </w:rPr>
      </w:pPr>
    </w:p>
    <w:p w14:paraId="48C09044" w14:textId="77777777" w:rsidR="00A342DF" w:rsidRPr="00AE0EE2" w:rsidRDefault="00A342DF">
      <w:pPr>
        <w:rPr>
          <w:rFonts w:ascii="Garamond" w:hAnsi="Garamond" w:cs="Times New Roman"/>
          <w:sz w:val="23"/>
          <w:szCs w:val="23"/>
          <w:lang w:val="en-US"/>
        </w:rPr>
      </w:pPr>
    </w:p>
    <w:p w14:paraId="1E6B5B5E" w14:textId="77777777" w:rsidR="00A342DF" w:rsidRPr="00AE0EE2" w:rsidRDefault="00A342DF">
      <w:pPr>
        <w:rPr>
          <w:rFonts w:ascii="Garamond" w:hAnsi="Garamond" w:cs="Times New Roman"/>
          <w:sz w:val="23"/>
          <w:szCs w:val="23"/>
          <w:lang w:val="en-US"/>
        </w:rPr>
      </w:pPr>
    </w:p>
    <w:p w14:paraId="179CF6C0" w14:textId="77777777" w:rsidR="00A342DF" w:rsidRPr="00AE0EE2" w:rsidRDefault="00A342DF">
      <w:pPr>
        <w:rPr>
          <w:rFonts w:ascii="Garamond" w:hAnsi="Garamond" w:cs="Times New Roman"/>
          <w:sz w:val="23"/>
          <w:szCs w:val="23"/>
          <w:lang w:val="en-US"/>
        </w:rPr>
      </w:pPr>
    </w:p>
    <w:p w14:paraId="7BB2CFCE" w14:textId="77777777" w:rsidR="00255D67" w:rsidRPr="00AE0EE2" w:rsidRDefault="00255D67">
      <w:pPr>
        <w:rPr>
          <w:rFonts w:ascii="Garamond" w:hAnsi="Garamond" w:cs="Times New Roman"/>
          <w:sz w:val="23"/>
          <w:szCs w:val="23"/>
          <w:lang w:val="en-US"/>
        </w:rPr>
      </w:pPr>
      <w:r w:rsidRPr="00AE0EE2">
        <w:rPr>
          <w:rFonts w:ascii="Garamond" w:hAnsi="Garamond" w:cs="Times New Roman"/>
          <w:sz w:val="23"/>
          <w:szCs w:val="23"/>
          <w:lang w:val="en-US"/>
        </w:rPr>
        <w:t xml:space="preserve">Of all the general bans, 9 were for an indefinite time period. 11 bans were for three days, and 7 were fır 30 days. </w:t>
      </w:r>
    </w:p>
    <w:p w14:paraId="15DB0A8C" w14:textId="77777777" w:rsidR="00255D67" w:rsidRPr="00AE0EE2" w:rsidRDefault="00313B30">
      <w:pPr>
        <w:rPr>
          <w:rFonts w:ascii="Garamond" w:hAnsi="Garamond" w:cs="Times New Roman"/>
          <w:sz w:val="23"/>
          <w:szCs w:val="23"/>
          <w:lang w:val="en-US"/>
        </w:rPr>
      </w:pPr>
      <w:r w:rsidRPr="00AE0EE2">
        <w:rPr>
          <w:rFonts w:ascii="Garamond" w:hAnsi="Garamond" w:cs="Times New Roman"/>
          <w:noProof/>
          <w:sz w:val="23"/>
          <w:szCs w:val="23"/>
          <w:lang w:val="en-US"/>
        </w:rPr>
        <w:drawing>
          <wp:inline distT="0" distB="0" distL="0" distR="0" wp14:anchorId="4AB70A33" wp14:editId="6B0F2EFA">
            <wp:extent cx="5760720" cy="2580640"/>
            <wp:effectExtent l="0" t="0" r="11430" b="1016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306851" w14:textId="77777777" w:rsidR="00B46522" w:rsidRPr="00AE0EE2" w:rsidRDefault="00313B30">
      <w:pPr>
        <w:rPr>
          <w:rFonts w:ascii="Garamond" w:hAnsi="Garamond" w:cs="Times New Roman"/>
          <w:sz w:val="23"/>
          <w:szCs w:val="23"/>
          <w:lang w:val="en-US"/>
        </w:rPr>
      </w:pPr>
      <w:r w:rsidRPr="00AE0EE2">
        <w:rPr>
          <w:rFonts w:ascii="Garamond" w:hAnsi="Garamond" w:cs="Times New Roman"/>
          <w:sz w:val="23"/>
          <w:szCs w:val="23"/>
          <w:lang w:val="en-US"/>
        </w:rPr>
        <w:t xml:space="preserve">During the monitoring period, 52 specific assemblies were banned. Most banned events were </w:t>
      </w:r>
      <w:proofErr w:type="spellStart"/>
      <w:r w:rsidRPr="00AE0EE2">
        <w:rPr>
          <w:rFonts w:ascii="Garamond" w:hAnsi="Garamond" w:cs="Times New Roman"/>
          <w:sz w:val="23"/>
          <w:szCs w:val="23"/>
          <w:lang w:val="en-US"/>
        </w:rPr>
        <w:t>Newroz</w:t>
      </w:r>
      <w:proofErr w:type="spellEnd"/>
      <w:r w:rsidRPr="00AE0EE2">
        <w:rPr>
          <w:rFonts w:ascii="Garamond" w:hAnsi="Garamond" w:cs="Times New Roman"/>
          <w:sz w:val="23"/>
          <w:szCs w:val="23"/>
          <w:lang w:val="en-US"/>
        </w:rPr>
        <w:t xml:space="preserve"> celebrations, a day celebrating the start of the spring, overwhelmingly celebrated by Kurds in Turkey. Even though permissions are not necessary for assemblies, there is a notification requirement to the Governor. Often, events are banned during this process of notification, where the Governor states </w:t>
      </w:r>
      <w:r w:rsidRPr="00AE0EE2">
        <w:rPr>
          <w:rFonts w:ascii="Garamond" w:hAnsi="Garamond" w:cs="Times New Roman"/>
          <w:sz w:val="23"/>
          <w:szCs w:val="23"/>
          <w:lang w:val="en-US"/>
        </w:rPr>
        <w:lastRenderedPageBreak/>
        <w:t xml:space="preserve">reasons why the assembly cannot be held on the time and place it is envisioned. There were some exceptions, however. For instance, the Trans Pride Parade, as a political stance, has never made a notification </w:t>
      </w:r>
      <w:r w:rsidR="00B46522" w:rsidRPr="00AE0EE2">
        <w:rPr>
          <w:rFonts w:ascii="Garamond" w:hAnsi="Garamond" w:cs="Times New Roman"/>
          <w:sz w:val="23"/>
          <w:szCs w:val="23"/>
          <w:lang w:val="en-US"/>
        </w:rPr>
        <w:t xml:space="preserve">to the relevant authority in its </w:t>
      </w:r>
      <w:proofErr w:type="gramStart"/>
      <w:r w:rsidR="00B46522" w:rsidRPr="00AE0EE2">
        <w:rPr>
          <w:rFonts w:ascii="Garamond" w:hAnsi="Garamond" w:cs="Times New Roman"/>
          <w:sz w:val="23"/>
          <w:szCs w:val="23"/>
          <w:lang w:val="en-US"/>
        </w:rPr>
        <w:t>7 year</w:t>
      </w:r>
      <w:proofErr w:type="gramEnd"/>
      <w:r w:rsidR="00B46522" w:rsidRPr="00AE0EE2">
        <w:rPr>
          <w:rFonts w:ascii="Garamond" w:hAnsi="Garamond" w:cs="Times New Roman"/>
          <w:sz w:val="23"/>
          <w:szCs w:val="23"/>
          <w:lang w:val="en-US"/>
        </w:rPr>
        <w:t xml:space="preserve"> history in Turkey. However, the Governor preemptively banned the event, stating, </w:t>
      </w:r>
    </w:p>
    <w:p w14:paraId="4F1E9B87" w14:textId="77777777" w:rsidR="00255D67" w:rsidRPr="00AE0EE2" w:rsidRDefault="00B46522" w:rsidP="00B46522">
      <w:pPr>
        <w:tabs>
          <w:tab w:val="left" w:pos="8222"/>
        </w:tabs>
        <w:ind w:left="567" w:right="850"/>
        <w:jc w:val="both"/>
        <w:rPr>
          <w:rFonts w:ascii="Garamond" w:hAnsi="Garamond" w:cs="Times New Roman"/>
          <w:sz w:val="23"/>
          <w:szCs w:val="23"/>
          <w:lang w:val="en-US"/>
        </w:rPr>
      </w:pPr>
      <w:r w:rsidRPr="00AE0EE2">
        <w:rPr>
          <w:rFonts w:ascii="Garamond" w:hAnsi="Garamond" w:cs="Times New Roman"/>
          <w:sz w:val="23"/>
          <w:szCs w:val="23"/>
          <w:lang w:val="en-US"/>
        </w:rPr>
        <w:t xml:space="preserve">“It is acknowledged that calls are made on certain news channels, websites and social media by LGBT members to attend a parade to be held on 19-26 June 2016 in </w:t>
      </w:r>
      <w:proofErr w:type="spellStart"/>
      <w:r w:rsidRPr="00AE0EE2">
        <w:rPr>
          <w:rFonts w:ascii="Garamond" w:hAnsi="Garamond" w:cs="Times New Roman"/>
          <w:sz w:val="23"/>
          <w:szCs w:val="23"/>
          <w:lang w:val="en-US"/>
        </w:rPr>
        <w:t>Taksim</w:t>
      </w:r>
      <w:proofErr w:type="spellEnd"/>
      <w:r w:rsidRPr="00AE0EE2">
        <w:rPr>
          <w:rFonts w:ascii="Garamond" w:hAnsi="Garamond" w:cs="Times New Roman"/>
          <w:sz w:val="23"/>
          <w:szCs w:val="23"/>
          <w:lang w:val="en-US"/>
        </w:rPr>
        <w:t xml:space="preserve">. Our Governorship will not allow the organization of such an assembly or parade on the stated days, bearing in mind the security of firstly the participants and our citizens, and public order. The places where such events can be held were previously announced, as per the relevant law. We would like to ask the honorable citizens of </w:t>
      </w:r>
      <w:r w:rsidRPr="00AE0EE2">
        <w:rPr>
          <w:rFonts w:ascii="Times New Roman" w:hAnsi="Times New Roman" w:cs="Times New Roman"/>
          <w:sz w:val="23"/>
          <w:szCs w:val="23"/>
          <w:lang w:val="en-US"/>
        </w:rPr>
        <w:t>İ</w:t>
      </w:r>
      <w:r w:rsidRPr="00AE0EE2">
        <w:rPr>
          <w:rFonts w:ascii="Garamond" w:hAnsi="Garamond" w:cs="Times New Roman"/>
          <w:sz w:val="23"/>
          <w:szCs w:val="23"/>
          <w:lang w:val="en-US"/>
        </w:rPr>
        <w:t xml:space="preserve">stanbul to ignore such calls, be helpful towards the security forces and attend to their warnings on this issue”. </w:t>
      </w:r>
    </w:p>
    <w:p w14:paraId="64417B68" w14:textId="77777777" w:rsidR="00B46522" w:rsidRPr="00AE0EE2" w:rsidRDefault="00AA573B" w:rsidP="00B46522">
      <w:pPr>
        <w:tabs>
          <w:tab w:val="left" w:pos="8222"/>
        </w:tabs>
        <w:ind w:right="850"/>
        <w:jc w:val="both"/>
        <w:rPr>
          <w:rFonts w:ascii="Garamond" w:hAnsi="Garamond" w:cs="Times New Roman"/>
          <w:sz w:val="23"/>
          <w:szCs w:val="23"/>
          <w:lang w:val="en-US"/>
        </w:rPr>
      </w:pPr>
      <w:r w:rsidRPr="00AE0EE2">
        <w:rPr>
          <w:rFonts w:ascii="Garamond" w:hAnsi="Garamond" w:cs="Times New Roman"/>
          <w:sz w:val="23"/>
          <w:szCs w:val="23"/>
          <w:lang w:val="en-US"/>
        </w:rPr>
        <w:t xml:space="preserve">Another banned event was the World </w:t>
      </w:r>
      <w:proofErr w:type="spellStart"/>
      <w:r w:rsidRPr="00AE0EE2">
        <w:rPr>
          <w:rFonts w:ascii="Garamond" w:hAnsi="Garamond" w:cs="Times New Roman"/>
          <w:sz w:val="23"/>
          <w:szCs w:val="23"/>
          <w:lang w:val="en-US"/>
        </w:rPr>
        <w:t>Rakı</w:t>
      </w:r>
      <w:proofErr w:type="spellEnd"/>
      <w:r w:rsidRPr="00AE0EE2">
        <w:rPr>
          <w:rFonts w:ascii="Garamond" w:hAnsi="Garamond" w:cs="Times New Roman"/>
          <w:sz w:val="23"/>
          <w:szCs w:val="23"/>
          <w:lang w:val="en-US"/>
        </w:rPr>
        <w:t xml:space="preserve"> Festival</w:t>
      </w:r>
      <w:r w:rsidRPr="00AE0EE2">
        <w:rPr>
          <w:rStyle w:val="FootnoteReference"/>
          <w:rFonts w:ascii="Garamond" w:hAnsi="Garamond" w:cs="Times New Roman"/>
          <w:sz w:val="23"/>
          <w:szCs w:val="23"/>
          <w:lang w:val="en-US"/>
        </w:rPr>
        <w:footnoteReference w:id="1"/>
      </w:r>
      <w:r w:rsidRPr="00AE0EE2">
        <w:rPr>
          <w:rFonts w:ascii="Garamond" w:hAnsi="Garamond" w:cs="Times New Roman"/>
          <w:sz w:val="23"/>
          <w:szCs w:val="23"/>
          <w:lang w:val="en-US"/>
        </w:rPr>
        <w:t>, which has been held annually since 2000. The Governor of Adana banned the event this year, stating that social a</w:t>
      </w:r>
      <w:r w:rsidR="00A342DF" w:rsidRPr="00AE0EE2">
        <w:rPr>
          <w:rFonts w:ascii="Garamond" w:hAnsi="Garamond" w:cs="Times New Roman"/>
          <w:sz w:val="23"/>
          <w:szCs w:val="23"/>
          <w:lang w:val="en-US"/>
        </w:rPr>
        <w:t>nd economic organizations should</w:t>
      </w:r>
      <w:r w:rsidRPr="00AE0EE2">
        <w:rPr>
          <w:rFonts w:ascii="Garamond" w:hAnsi="Garamond" w:cs="Times New Roman"/>
          <w:sz w:val="23"/>
          <w:szCs w:val="23"/>
          <w:lang w:val="en-US"/>
        </w:rPr>
        <w:t xml:space="preserve"> be held instead of festivals. Thus, the name of the festival was changed to ‘Kebab and </w:t>
      </w:r>
      <w:proofErr w:type="spellStart"/>
      <w:r w:rsidRPr="00AE0EE2">
        <w:rPr>
          <w:rFonts w:ascii="Garamond" w:hAnsi="Garamond" w:cs="Times New Roman"/>
          <w:sz w:val="23"/>
          <w:szCs w:val="23"/>
          <w:lang w:val="en-US"/>
        </w:rPr>
        <w:t>Shalgam</w:t>
      </w:r>
      <w:proofErr w:type="spellEnd"/>
      <w:r w:rsidRPr="00AE0EE2">
        <w:rPr>
          <w:rFonts w:ascii="Garamond" w:hAnsi="Garamond" w:cs="Times New Roman"/>
          <w:sz w:val="23"/>
          <w:szCs w:val="23"/>
          <w:lang w:val="en-US"/>
        </w:rPr>
        <w:t xml:space="preserve"> Festival’</w:t>
      </w:r>
      <w:r w:rsidR="004213A3" w:rsidRPr="00AE0EE2">
        <w:rPr>
          <w:rStyle w:val="FootnoteReference"/>
          <w:rFonts w:ascii="Garamond" w:hAnsi="Garamond" w:cs="Times New Roman"/>
          <w:sz w:val="23"/>
          <w:szCs w:val="23"/>
          <w:lang w:val="en-US"/>
        </w:rPr>
        <w:footnoteReference w:id="2"/>
      </w:r>
      <w:r w:rsidRPr="00AE0EE2">
        <w:rPr>
          <w:rFonts w:ascii="Garamond" w:hAnsi="Garamond" w:cs="Times New Roman"/>
          <w:sz w:val="23"/>
          <w:szCs w:val="23"/>
          <w:lang w:val="en-US"/>
        </w:rPr>
        <w:t xml:space="preserve"> and was allowed by the Governorship. </w:t>
      </w:r>
    </w:p>
    <w:p w14:paraId="3F283E2A" w14:textId="77777777" w:rsidR="004213A3" w:rsidRPr="00AE0EE2" w:rsidRDefault="004213A3" w:rsidP="00B46522">
      <w:pPr>
        <w:tabs>
          <w:tab w:val="left" w:pos="8222"/>
        </w:tabs>
        <w:ind w:right="850"/>
        <w:jc w:val="both"/>
        <w:rPr>
          <w:rFonts w:ascii="Garamond" w:hAnsi="Garamond" w:cs="Times New Roman"/>
          <w:i/>
          <w:sz w:val="23"/>
          <w:szCs w:val="23"/>
          <w:lang w:val="en-US"/>
        </w:rPr>
      </w:pPr>
      <w:r w:rsidRPr="00AE0EE2">
        <w:rPr>
          <w:rFonts w:ascii="Garamond" w:hAnsi="Garamond" w:cs="Times New Roman"/>
          <w:i/>
          <w:sz w:val="23"/>
          <w:szCs w:val="23"/>
          <w:lang w:val="en-US"/>
        </w:rPr>
        <w:t>During the Assembly</w:t>
      </w:r>
    </w:p>
    <w:p w14:paraId="05E5B4FE" w14:textId="77777777" w:rsidR="004213A3" w:rsidRPr="00AE0EE2" w:rsidRDefault="00A23B24">
      <w:pPr>
        <w:rPr>
          <w:rFonts w:ascii="Garamond" w:hAnsi="Garamond" w:cs="Times New Roman"/>
          <w:sz w:val="23"/>
          <w:szCs w:val="23"/>
          <w:lang w:val="en-US"/>
        </w:rPr>
      </w:pPr>
      <w:r w:rsidRPr="00AE0EE2">
        <w:rPr>
          <w:rFonts w:ascii="Garamond" w:hAnsi="Garamond" w:cs="Times New Roman"/>
          <w:sz w:val="23"/>
          <w:szCs w:val="23"/>
          <w:lang w:val="en-US"/>
        </w:rPr>
        <w:t xml:space="preserve">The number of assemblies that were intervened by security forces during the monitoring period was 226. 32 of the assemblies were ongoing when the police started dispersing the participants, and 183 of the protests were intervened before they had started. </w:t>
      </w:r>
    </w:p>
    <w:p w14:paraId="585D1EAF" w14:textId="77777777" w:rsidR="00A23B24" w:rsidRPr="00AE0EE2" w:rsidRDefault="00A23B24">
      <w:pPr>
        <w:rPr>
          <w:rFonts w:ascii="Garamond" w:hAnsi="Garamond" w:cs="Times New Roman"/>
          <w:sz w:val="23"/>
          <w:szCs w:val="23"/>
          <w:lang w:val="en-US"/>
        </w:rPr>
      </w:pPr>
      <w:r w:rsidRPr="00AE0EE2">
        <w:rPr>
          <w:rFonts w:ascii="Garamond" w:hAnsi="Garamond" w:cs="Times New Roman"/>
          <w:noProof/>
          <w:sz w:val="23"/>
          <w:szCs w:val="23"/>
          <w:lang w:val="en-US"/>
        </w:rPr>
        <w:drawing>
          <wp:inline distT="0" distB="0" distL="0" distR="0" wp14:anchorId="408A0E9A" wp14:editId="0B5F0570">
            <wp:extent cx="5724525" cy="20669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6EF213" w14:textId="77777777" w:rsidR="00A23B24" w:rsidRPr="00AE0EE2" w:rsidRDefault="00A23B24">
      <w:pPr>
        <w:rPr>
          <w:rFonts w:ascii="Garamond" w:hAnsi="Garamond" w:cs="Times New Roman"/>
          <w:sz w:val="23"/>
          <w:szCs w:val="23"/>
          <w:lang w:val="en-US"/>
        </w:rPr>
      </w:pPr>
      <w:r w:rsidRPr="00AE0EE2">
        <w:rPr>
          <w:rFonts w:ascii="Garamond" w:hAnsi="Garamond" w:cs="Times New Roman"/>
          <w:sz w:val="23"/>
          <w:szCs w:val="23"/>
          <w:lang w:val="en-US"/>
        </w:rPr>
        <w:t xml:space="preserve">Most of the assemblies, 160 in total, were press releases, parades, marches, and other demonstrations for the purpose of political expression on a smaller scale. 27 were celebrations of holidays and other special days. 16 were events held in memorial of the death of notable persons or explosions inscribed on public memory, 8 were attempts to put up stands, hand out brochures, and </w:t>
      </w:r>
      <w:r w:rsidR="00E849A9" w:rsidRPr="00AE0EE2">
        <w:rPr>
          <w:rFonts w:ascii="Garamond" w:hAnsi="Garamond" w:cs="Times New Roman"/>
          <w:sz w:val="23"/>
          <w:szCs w:val="23"/>
          <w:lang w:val="en-US"/>
        </w:rPr>
        <w:t xml:space="preserve">set up tents, 5 were counter protests and 3 were political rallies. </w:t>
      </w:r>
    </w:p>
    <w:p w14:paraId="464975DB" w14:textId="77777777" w:rsidR="00E849A9" w:rsidRPr="00AE0EE2" w:rsidRDefault="00E849A9">
      <w:pPr>
        <w:rPr>
          <w:rFonts w:ascii="Garamond" w:hAnsi="Garamond" w:cs="Times New Roman"/>
          <w:sz w:val="23"/>
          <w:szCs w:val="23"/>
          <w:lang w:val="en-US"/>
        </w:rPr>
      </w:pPr>
    </w:p>
    <w:p w14:paraId="0B3B19D2" w14:textId="77777777" w:rsidR="00E849A9" w:rsidRPr="00AE0EE2" w:rsidRDefault="00E849A9">
      <w:pPr>
        <w:rPr>
          <w:rFonts w:ascii="Garamond" w:hAnsi="Garamond" w:cs="Times New Roman"/>
          <w:sz w:val="23"/>
          <w:szCs w:val="23"/>
          <w:lang w:val="en-US"/>
        </w:rPr>
      </w:pPr>
      <w:r w:rsidRPr="00AE0EE2">
        <w:rPr>
          <w:rFonts w:ascii="Garamond" w:hAnsi="Garamond" w:cs="Times New Roman"/>
          <w:noProof/>
          <w:sz w:val="23"/>
          <w:szCs w:val="23"/>
          <w:lang w:val="en-US"/>
        </w:rPr>
        <w:lastRenderedPageBreak/>
        <w:drawing>
          <wp:inline distT="0" distB="0" distL="0" distR="0" wp14:anchorId="576044D8" wp14:editId="233E0449">
            <wp:extent cx="5629275" cy="24384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5A36CC" w14:textId="77777777" w:rsidR="00E849A9" w:rsidRPr="00AE0EE2" w:rsidRDefault="00973056">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58240" behindDoc="0" locked="0" layoutInCell="1" allowOverlap="1" wp14:anchorId="1D373AFD" wp14:editId="6ADEC6E9">
            <wp:simplePos x="0" y="0"/>
            <wp:positionH relativeFrom="column">
              <wp:posOffset>2843530</wp:posOffset>
            </wp:positionH>
            <wp:positionV relativeFrom="paragraph">
              <wp:posOffset>1404620</wp:posOffset>
            </wp:positionV>
            <wp:extent cx="2590800" cy="2162175"/>
            <wp:effectExtent l="0" t="0" r="0" b="9525"/>
            <wp:wrapSquare wrapText="bothSides"/>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849A9" w:rsidRPr="00AE0EE2">
        <w:rPr>
          <w:rFonts w:ascii="Garamond" w:hAnsi="Garamond" w:cs="Times New Roman"/>
          <w:sz w:val="23"/>
          <w:szCs w:val="23"/>
          <w:lang w:val="en-US"/>
        </w:rPr>
        <w:t xml:space="preserve">An analysis on the methods of intervention of the security forces on assemblies reveals that the police usually </w:t>
      </w:r>
      <w:proofErr w:type="gramStart"/>
      <w:r w:rsidR="00E849A9" w:rsidRPr="00AE0EE2">
        <w:rPr>
          <w:rFonts w:ascii="Garamond" w:hAnsi="Garamond" w:cs="Times New Roman"/>
          <w:sz w:val="23"/>
          <w:szCs w:val="23"/>
          <w:lang w:val="en-US"/>
        </w:rPr>
        <w:t>intervenes</w:t>
      </w:r>
      <w:proofErr w:type="gramEnd"/>
      <w:r w:rsidR="00E849A9" w:rsidRPr="00AE0EE2">
        <w:rPr>
          <w:rFonts w:ascii="Garamond" w:hAnsi="Garamond" w:cs="Times New Roman"/>
          <w:sz w:val="23"/>
          <w:szCs w:val="23"/>
          <w:lang w:val="en-US"/>
        </w:rPr>
        <w:t xml:space="preserve"> with the use of disproportionate force, often </w:t>
      </w:r>
      <w:r w:rsidRPr="00AE0EE2">
        <w:rPr>
          <w:rFonts w:ascii="Garamond" w:hAnsi="Garamond" w:cs="Times New Roman"/>
          <w:sz w:val="23"/>
          <w:szCs w:val="23"/>
          <w:lang w:val="en-US"/>
        </w:rPr>
        <w:t xml:space="preserve">using tear gas and pressurized water to affect entire masses instead of targeting individuals disrupting order. By choosing immediately the method of dispersal of the entire group, the police </w:t>
      </w:r>
      <w:proofErr w:type="gramStart"/>
      <w:r w:rsidRPr="00AE0EE2">
        <w:rPr>
          <w:rFonts w:ascii="Garamond" w:hAnsi="Garamond" w:cs="Times New Roman"/>
          <w:sz w:val="23"/>
          <w:szCs w:val="23"/>
          <w:lang w:val="en-US"/>
        </w:rPr>
        <w:t>violates</w:t>
      </w:r>
      <w:proofErr w:type="gramEnd"/>
      <w:r w:rsidRPr="00AE0EE2">
        <w:rPr>
          <w:rFonts w:ascii="Garamond" w:hAnsi="Garamond" w:cs="Times New Roman"/>
          <w:sz w:val="23"/>
          <w:szCs w:val="23"/>
          <w:lang w:val="en-US"/>
        </w:rPr>
        <w:t xml:space="preserve"> the right to peaceful assembly of nearly all participants in most cases. The security forces also use multiple methods </w:t>
      </w:r>
      <w:proofErr w:type="gramStart"/>
      <w:r w:rsidRPr="00AE0EE2">
        <w:rPr>
          <w:rFonts w:ascii="Garamond" w:hAnsi="Garamond" w:cs="Times New Roman"/>
          <w:sz w:val="23"/>
          <w:szCs w:val="23"/>
          <w:lang w:val="en-US"/>
        </w:rPr>
        <w:t>together,</w:t>
      </w:r>
      <w:proofErr w:type="gramEnd"/>
      <w:r w:rsidRPr="00AE0EE2">
        <w:rPr>
          <w:rFonts w:ascii="Garamond" w:hAnsi="Garamond" w:cs="Times New Roman"/>
          <w:sz w:val="23"/>
          <w:szCs w:val="23"/>
          <w:lang w:val="en-US"/>
        </w:rPr>
        <w:t xml:space="preserve"> this was established in 19 out of 226 interventions. Physical force on protesters is also quite common, and real bullets </w:t>
      </w:r>
      <w:proofErr w:type="gramStart"/>
      <w:r w:rsidRPr="00AE0EE2">
        <w:rPr>
          <w:rFonts w:ascii="Garamond" w:hAnsi="Garamond" w:cs="Times New Roman"/>
          <w:sz w:val="23"/>
          <w:szCs w:val="23"/>
          <w:lang w:val="en-US"/>
        </w:rPr>
        <w:t>were established to be used</w:t>
      </w:r>
      <w:proofErr w:type="gramEnd"/>
      <w:r w:rsidRPr="00AE0EE2">
        <w:rPr>
          <w:rFonts w:ascii="Garamond" w:hAnsi="Garamond" w:cs="Times New Roman"/>
          <w:sz w:val="23"/>
          <w:szCs w:val="23"/>
          <w:lang w:val="en-US"/>
        </w:rPr>
        <w:t xml:space="preserve"> in one case during the monitoring period. </w:t>
      </w:r>
    </w:p>
    <w:p w14:paraId="20F52214" w14:textId="77777777" w:rsidR="00973056" w:rsidRPr="00AE0EE2" w:rsidRDefault="00973056">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59264" behindDoc="0" locked="0" layoutInCell="1" allowOverlap="1" wp14:anchorId="7F81D206" wp14:editId="32633A46">
            <wp:simplePos x="0" y="0"/>
            <wp:positionH relativeFrom="column">
              <wp:posOffset>-147320</wp:posOffset>
            </wp:positionH>
            <wp:positionV relativeFrom="paragraph">
              <wp:posOffset>2540</wp:posOffset>
            </wp:positionV>
            <wp:extent cx="2647950" cy="2209800"/>
            <wp:effectExtent l="0" t="0" r="0" b="0"/>
            <wp:wrapSquare wrapText="bothSides"/>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7291761" w14:textId="77777777" w:rsidR="00973056" w:rsidRPr="00AE0EE2" w:rsidRDefault="00973056">
      <w:pPr>
        <w:rPr>
          <w:rFonts w:ascii="Garamond" w:hAnsi="Garamond" w:cs="Times New Roman"/>
          <w:sz w:val="23"/>
          <w:szCs w:val="23"/>
          <w:lang w:val="en-US"/>
        </w:rPr>
      </w:pPr>
      <w:r w:rsidRPr="00AE0EE2">
        <w:rPr>
          <w:rFonts w:ascii="Garamond" w:hAnsi="Garamond" w:cs="Times New Roman"/>
          <w:sz w:val="23"/>
          <w:szCs w:val="23"/>
          <w:lang w:val="en-US"/>
        </w:rPr>
        <w:t xml:space="preserve">In 158 out of 226 assemblies, an instance of detention by the police was observed. In the 158 assemblies with detainments, </w:t>
      </w:r>
      <w:proofErr w:type="gramStart"/>
      <w:r w:rsidRPr="00AE0EE2">
        <w:rPr>
          <w:rFonts w:ascii="Garamond" w:hAnsi="Garamond" w:cs="Times New Roman"/>
          <w:sz w:val="23"/>
          <w:szCs w:val="23"/>
          <w:lang w:val="en-US"/>
        </w:rPr>
        <w:t>a total of 2088 people were taken into custody by the police</w:t>
      </w:r>
      <w:proofErr w:type="gramEnd"/>
      <w:r w:rsidRPr="00AE0EE2">
        <w:rPr>
          <w:rFonts w:ascii="Garamond" w:hAnsi="Garamond" w:cs="Times New Roman"/>
          <w:sz w:val="23"/>
          <w:szCs w:val="23"/>
          <w:lang w:val="en-US"/>
        </w:rPr>
        <w:t xml:space="preserve">. The number of people taken into custody varies between 1 and 231. </w:t>
      </w:r>
    </w:p>
    <w:p w14:paraId="7E72D454" w14:textId="77777777" w:rsidR="00973056" w:rsidRPr="00AE0EE2" w:rsidRDefault="00973056">
      <w:pPr>
        <w:rPr>
          <w:rFonts w:ascii="Garamond" w:hAnsi="Garamond" w:cs="Times New Roman"/>
          <w:i/>
          <w:sz w:val="23"/>
          <w:szCs w:val="23"/>
          <w:lang w:val="en-US"/>
        </w:rPr>
      </w:pPr>
      <w:r w:rsidRPr="00AE0EE2">
        <w:rPr>
          <w:rFonts w:ascii="Garamond" w:hAnsi="Garamond" w:cs="Times New Roman"/>
          <w:i/>
          <w:sz w:val="23"/>
          <w:szCs w:val="23"/>
          <w:lang w:val="en-US"/>
        </w:rPr>
        <w:t>After the Assembly</w:t>
      </w:r>
    </w:p>
    <w:p w14:paraId="16489088" w14:textId="77777777" w:rsidR="000B6B43" w:rsidRPr="00AE0EE2" w:rsidRDefault="00F85984">
      <w:pPr>
        <w:rPr>
          <w:rFonts w:ascii="Garamond" w:hAnsi="Garamond" w:cs="Times New Roman"/>
          <w:sz w:val="23"/>
          <w:szCs w:val="23"/>
          <w:lang w:val="en-US"/>
        </w:rPr>
      </w:pPr>
      <w:r w:rsidRPr="00AE0EE2">
        <w:rPr>
          <w:rFonts w:ascii="Garamond" w:hAnsi="Garamond" w:cs="Times New Roman"/>
          <w:sz w:val="23"/>
          <w:szCs w:val="23"/>
          <w:lang w:val="en-US"/>
        </w:rPr>
        <w:t xml:space="preserve">AMER find the monitoring of rights violations after the assembly is completed very important, due to their long-term consequences and tremendous imbalance of power it creates between protesters and law enforcement. It has been observed that law enforcement officers attempting to disperse crowds in assemblies quite frequently use detainment as a threat, and takes multitudes into custody, regardless of whether the protesters are members of the parliament, journalists, representatives of foreign nations etc. However, monitoring the violation of the freedom of assembly is quite difficult methodologically in Turkey, since news articles rarely follow up on detainments, and the judicial data is not available to the public. Therefore, only </w:t>
      </w:r>
      <w:r w:rsidR="00240CE2" w:rsidRPr="00AE0EE2">
        <w:rPr>
          <w:rFonts w:ascii="Garamond" w:hAnsi="Garamond" w:cs="Times New Roman"/>
          <w:sz w:val="23"/>
          <w:szCs w:val="23"/>
          <w:lang w:val="en-US"/>
        </w:rPr>
        <w:t xml:space="preserve">high profile cases, cases that are accepted by the </w:t>
      </w:r>
      <w:proofErr w:type="spellStart"/>
      <w:r w:rsidR="00240CE2" w:rsidRPr="00AE0EE2">
        <w:rPr>
          <w:rFonts w:ascii="Garamond" w:hAnsi="Garamond" w:cs="Times New Roman"/>
          <w:sz w:val="23"/>
          <w:szCs w:val="23"/>
          <w:lang w:val="en-US"/>
        </w:rPr>
        <w:t>EC</w:t>
      </w:r>
      <w:r w:rsidR="0056610C">
        <w:rPr>
          <w:rFonts w:ascii="Garamond" w:hAnsi="Garamond" w:cs="Times New Roman"/>
          <w:sz w:val="23"/>
          <w:szCs w:val="23"/>
          <w:lang w:val="en-US"/>
        </w:rPr>
        <w:t>tHR</w:t>
      </w:r>
      <w:proofErr w:type="spellEnd"/>
      <w:r w:rsidR="00240CE2" w:rsidRPr="00AE0EE2">
        <w:rPr>
          <w:rFonts w:ascii="Garamond" w:hAnsi="Garamond" w:cs="Times New Roman"/>
          <w:sz w:val="23"/>
          <w:szCs w:val="23"/>
          <w:lang w:val="en-US"/>
        </w:rPr>
        <w:t xml:space="preserve">, and data from the Ministry of Justice are available for analysis. </w:t>
      </w:r>
    </w:p>
    <w:p w14:paraId="78DD682D" w14:textId="77777777" w:rsidR="004768C9" w:rsidRPr="00AE0EE2" w:rsidRDefault="004768C9">
      <w:pPr>
        <w:rPr>
          <w:rFonts w:ascii="Garamond" w:hAnsi="Garamond" w:cs="Times New Roman"/>
          <w:sz w:val="23"/>
          <w:szCs w:val="23"/>
          <w:lang w:val="en-US"/>
        </w:rPr>
      </w:pPr>
      <w:r w:rsidRPr="00AE0EE2">
        <w:rPr>
          <w:rFonts w:ascii="Garamond" w:hAnsi="Garamond" w:cs="Times New Roman"/>
          <w:sz w:val="23"/>
          <w:szCs w:val="23"/>
          <w:lang w:val="en-US"/>
        </w:rPr>
        <w:lastRenderedPageBreak/>
        <w:t>According to data from the Ministry of Justice, the ratio of suspects, defined by people</w:t>
      </w:r>
      <w:r w:rsidR="004142AA" w:rsidRPr="00AE0EE2">
        <w:rPr>
          <w:rFonts w:ascii="Garamond" w:hAnsi="Garamond" w:cs="Times New Roman"/>
          <w:sz w:val="23"/>
          <w:szCs w:val="23"/>
          <w:lang w:val="en-US"/>
        </w:rPr>
        <w:t xml:space="preserve"> against whom some form of judicial procedure was started</w:t>
      </w:r>
      <w:r w:rsidRPr="00AE0EE2">
        <w:rPr>
          <w:rFonts w:ascii="Garamond" w:hAnsi="Garamond" w:cs="Times New Roman"/>
          <w:sz w:val="23"/>
          <w:szCs w:val="23"/>
          <w:lang w:val="en-US"/>
        </w:rPr>
        <w:t>, increased significantly in 2013 and has maintained the high ratio of 6,7.</w:t>
      </w:r>
      <w:r w:rsidRPr="00AE0EE2">
        <w:rPr>
          <w:rStyle w:val="FootnoteReference"/>
          <w:rFonts w:ascii="Garamond" w:hAnsi="Garamond" w:cs="Times New Roman"/>
          <w:sz w:val="23"/>
          <w:szCs w:val="23"/>
          <w:lang w:val="en-US"/>
        </w:rPr>
        <w:footnoteReference w:id="3"/>
      </w:r>
      <w:r w:rsidRPr="00AE0EE2">
        <w:rPr>
          <w:rFonts w:ascii="Garamond" w:hAnsi="Garamond" w:cs="Times New Roman"/>
          <w:sz w:val="23"/>
          <w:szCs w:val="23"/>
          <w:lang w:val="en-US"/>
        </w:rPr>
        <w:t xml:space="preserve"> </w:t>
      </w:r>
      <w:r w:rsidR="004142AA" w:rsidRPr="00AE0EE2">
        <w:rPr>
          <w:rFonts w:ascii="Garamond" w:hAnsi="Garamond" w:cs="Times New Roman"/>
          <w:sz w:val="23"/>
          <w:szCs w:val="23"/>
          <w:lang w:val="en-US"/>
        </w:rPr>
        <w:t xml:space="preserve">This group of people includes protesters who are detained and referred to the prosecutor, those who are not detained but called to give testimony, and those against whom a criminal complaint was lodged. </w:t>
      </w:r>
    </w:p>
    <w:p w14:paraId="60F27E15" w14:textId="77777777" w:rsidR="00E924D2" w:rsidRPr="00AE0EE2" w:rsidRDefault="00E924D2">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60288" behindDoc="0" locked="0" layoutInCell="1" allowOverlap="1" wp14:anchorId="23BF6048" wp14:editId="7FDD5D41">
            <wp:simplePos x="0" y="0"/>
            <wp:positionH relativeFrom="margin">
              <wp:align>left</wp:align>
            </wp:positionH>
            <wp:positionV relativeFrom="paragraph">
              <wp:posOffset>5715</wp:posOffset>
            </wp:positionV>
            <wp:extent cx="5210175" cy="2667000"/>
            <wp:effectExtent l="0" t="0" r="9525" b="0"/>
            <wp:wrapSquare wrapText="bothSides"/>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51DBCFA8" w14:textId="77777777" w:rsidR="00E924D2" w:rsidRPr="00AE0EE2" w:rsidRDefault="00E924D2">
      <w:pPr>
        <w:rPr>
          <w:rFonts w:ascii="Garamond" w:hAnsi="Garamond" w:cs="Times New Roman"/>
          <w:sz w:val="23"/>
          <w:szCs w:val="23"/>
          <w:lang w:val="en-US"/>
        </w:rPr>
      </w:pPr>
    </w:p>
    <w:p w14:paraId="78BA4CAD" w14:textId="77777777" w:rsidR="00E924D2" w:rsidRPr="00AE0EE2" w:rsidRDefault="00E924D2">
      <w:pPr>
        <w:rPr>
          <w:rFonts w:ascii="Garamond" w:hAnsi="Garamond" w:cs="Times New Roman"/>
          <w:sz w:val="23"/>
          <w:szCs w:val="23"/>
          <w:lang w:val="en-US"/>
        </w:rPr>
      </w:pPr>
    </w:p>
    <w:p w14:paraId="1E1C713A" w14:textId="77777777" w:rsidR="00E924D2" w:rsidRPr="00AE0EE2" w:rsidRDefault="00E924D2">
      <w:pPr>
        <w:rPr>
          <w:rFonts w:ascii="Garamond" w:hAnsi="Garamond" w:cs="Times New Roman"/>
          <w:sz w:val="23"/>
          <w:szCs w:val="23"/>
          <w:lang w:val="en-US"/>
        </w:rPr>
      </w:pPr>
    </w:p>
    <w:p w14:paraId="44307298" w14:textId="77777777" w:rsidR="00E924D2" w:rsidRPr="00AE0EE2" w:rsidRDefault="00E924D2">
      <w:pPr>
        <w:rPr>
          <w:rFonts w:ascii="Garamond" w:hAnsi="Garamond" w:cs="Times New Roman"/>
          <w:sz w:val="23"/>
          <w:szCs w:val="23"/>
          <w:lang w:val="en-US"/>
        </w:rPr>
      </w:pPr>
    </w:p>
    <w:p w14:paraId="11A917B9" w14:textId="77777777" w:rsidR="00E924D2" w:rsidRPr="00AE0EE2" w:rsidRDefault="00E924D2">
      <w:pPr>
        <w:rPr>
          <w:rFonts w:ascii="Garamond" w:hAnsi="Garamond" w:cs="Times New Roman"/>
          <w:sz w:val="23"/>
          <w:szCs w:val="23"/>
          <w:lang w:val="en-US"/>
        </w:rPr>
      </w:pPr>
    </w:p>
    <w:p w14:paraId="1EFFDA44" w14:textId="77777777" w:rsidR="00E924D2" w:rsidRPr="00AE0EE2" w:rsidRDefault="00E924D2">
      <w:pPr>
        <w:rPr>
          <w:rFonts w:ascii="Garamond" w:hAnsi="Garamond" w:cs="Times New Roman"/>
          <w:sz w:val="23"/>
          <w:szCs w:val="23"/>
          <w:lang w:val="en-US"/>
        </w:rPr>
      </w:pPr>
    </w:p>
    <w:p w14:paraId="5865362C" w14:textId="77777777" w:rsidR="00E924D2" w:rsidRPr="00AE0EE2" w:rsidRDefault="00E924D2">
      <w:pPr>
        <w:rPr>
          <w:rFonts w:ascii="Garamond" w:hAnsi="Garamond" w:cs="Times New Roman"/>
          <w:sz w:val="23"/>
          <w:szCs w:val="23"/>
          <w:lang w:val="en-US"/>
        </w:rPr>
      </w:pPr>
    </w:p>
    <w:p w14:paraId="3DDC1D29" w14:textId="77777777" w:rsidR="00E924D2" w:rsidRPr="00AE0EE2" w:rsidRDefault="00E924D2">
      <w:pPr>
        <w:rPr>
          <w:rFonts w:ascii="Garamond" w:hAnsi="Garamond" w:cs="Times New Roman"/>
          <w:sz w:val="23"/>
          <w:szCs w:val="23"/>
          <w:lang w:val="en-US"/>
        </w:rPr>
      </w:pPr>
    </w:p>
    <w:p w14:paraId="40578C4E" w14:textId="77777777" w:rsidR="00E924D2" w:rsidRPr="00AE0EE2" w:rsidRDefault="00E924D2">
      <w:pPr>
        <w:rPr>
          <w:rFonts w:ascii="Garamond" w:hAnsi="Garamond" w:cs="Times New Roman"/>
          <w:sz w:val="23"/>
          <w:szCs w:val="23"/>
          <w:lang w:val="en-US"/>
        </w:rPr>
      </w:pPr>
    </w:p>
    <w:p w14:paraId="79AE6114" w14:textId="77777777" w:rsidR="004142AA" w:rsidRPr="00AE0EE2" w:rsidRDefault="00DA55FA" w:rsidP="004142AA">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61312" behindDoc="0" locked="0" layoutInCell="1" allowOverlap="1" wp14:anchorId="6A4F822B" wp14:editId="074199B2">
            <wp:simplePos x="0" y="0"/>
            <wp:positionH relativeFrom="margin">
              <wp:posOffset>0</wp:posOffset>
            </wp:positionH>
            <wp:positionV relativeFrom="paragraph">
              <wp:posOffset>656590</wp:posOffset>
            </wp:positionV>
            <wp:extent cx="4572000" cy="2743200"/>
            <wp:effectExtent l="0" t="0" r="25400" b="25400"/>
            <wp:wrapSquare wrapText="bothSides"/>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4142AA" w:rsidRPr="00AE0EE2">
        <w:rPr>
          <w:rFonts w:ascii="Garamond" w:hAnsi="Garamond" w:cs="Times New Roman"/>
          <w:sz w:val="23"/>
          <w:szCs w:val="23"/>
          <w:lang w:val="en-US"/>
        </w:rPr>
        <w:t>This stark increase could be explained by the adoption of new laws giving broader authorities to civil servants in deploying police units to assemblies, banning certain actions from being performed at assemblies, and giving the security forces more power to ‘remove’ protesters from the scene, strip search suspects, use firearms at lower thresholds of threat etc.</w:t>
      </w:r>
    </w:p>
    <w:p w14:paraId="31CF26D1" w14:textId="77777777" w:rsidR="00604156" w:rsidRPr="00AE0EE2" w:rsidRDefault="00604156">
      <w:pPr>
        <w:rPr>
          <w:rFonts w:ascii="Garamond" w:hAnsi="Garamond" w:cs="Times New Roman"/>
          <w:sz w:val="23"/>
          <w:szCs w:val="23"/>
          <w:lang w:val="en-US"/>
        </w:rPr>
      </w:pPr>
    </w:p>
    <w:p w14:paraId="7310DECA" w14:textId="77777777" w:rsidR="00604156" w:rsidRPr="00AE0EE2" w:rsidRDefault="00604156">
      <w:pPr>
        <w:rPr>
          <w:rFonts w:ascii="Garamond" w:hAnsi="Garamond" w:cs="Times New Roman"/>
          <w:sz w:val="23"/>
          <w:szCs w:val="23"/>
          <w:lang w:val="en-US"/>
        </w:rPr>
      </w:pPr>
    </w:p>
    <w:p w14:paraId="693FD46E" w14:textId="77777777" w:rsidR="00604156" w:rsidRPr="00AE0EE2" w:rsidRDefault="00604156">
      <w:pPr>
        <w:rPr>
          <w:rFonts w:ascii="Garamond" w:hAnsi="Garamond" w:cs="Times New Roman"/>
          <w:sz w:val="23"/>
          <w:szCs w:val="23"/>
          <w:lang w:val="en-US"/>
        </w:rPr>
      </w:pPr>
    </w:p>
    <w:p w14:paraId="50C57346" w14:textId="77777777" w:rsidR="00604156" w:rsidRPr="00AE0EE2" w:rsidRDefault="00604156">
      <w:pPr>
        <w:rPr>
          <w:rFonts w:ascii="Garamond" w:hAnsi="Garamond" w:cs="Times New Roman"/>
          <w:sz w:val="23"/>
          <w:szCs w:val="23"/>
          <w:lang w:val="en-US"/>
        </w:rPr>
      </w:pPr>
    </w:p>
    <w:p w14:paraId="41E4332D" w14:textId="77777777" w:rsidR="00604156" w:rsidRPr="00AE0EE2" w:rsidRDefault="00604156">
      <w:pPr>
        <w:rPr>
          <w:rFonts w:ascii="Garamond" w:hAnsi="Garamond" w:cs="Times New Roman"/>
          <w:sz w:val="23"/>
          <w:szCs w:val="23"/>
          <w:lang w:val="en-US"/>
        </w:rPr>
      </w:pPr>
    </w:p>
    <w:p w14:paraId="6A8C0AA7" w14:textId="77777777" w:rsidR="00604156" w:rsidRPr="00AE0EE2" w:rsidRDefault="00604156">
      <w:pPr>
        <w:rPr>
          <w:rFonts w:ascii="Garamond" w:hAnsi="Garamond" w:cs="Times New Roman"/>
          <w:sz w:val="23"/>
          <w:szCs w:val="23"/>
          <w:lang w:val="en-US"/>
        </w:rPr>
      </w:pPr>
    </w:p>
    <w:p w14:paraId="1981A98C" w14:textId="77777777" w:rsidR="00604156" w:rsidRPr="00AE0EE2" w:rsidRDefault="00604156">
      <w:pPr>
        <w:rPr>
          <w:rFonts w:ascii="Garamond" w:hAnsi="Garamond" w:cs="Times New Roman"/>
          <w:sz w:val="23"/>
          <w:szCs w:val="23"/>
          <w:lang w:val="en-US"/>
        </w:rPr>
      </w:pPr>
    </w:p>
    <w:p w14:paraId="1E522386" w14:textId="77777777" w:rsidR="00604156" w:rsidRPr="00AE0EE2" w:rsidRDefault="00604156">
      <w:pPr>
        <w:rPr>
          <w:rFonts w:ascii="Garamond" w:hAnsi="Garamond" w:cs="Times New Roman"/>
          <w:sz w:val="23"/>
          <w:szCs w:val="23"/>
          <w:lang w:val="en-US"/>
        </w:rPr>
      </w:pPr>
    </w:p>
    <w:p w14:paraId="50297FFB" w14:textId="77777777" w:rsidR="004142AA" w:rsidRPr="00AE0EE2" w:rsidRDefault="004142AA">
      <w:pPr>
        <w:rPr>
          <w:rFonts w:ascii="Garamond" w:hAnsi="Garamond" w:cs="Times New Roman"/>
          <w:sz w:val="23"/>
          <w:szCs w:val="23"/>
          <w:lang w:val="en-US"/>
        </w:rPr>
      </w:pPr>
      <w:r w:rsidRPr="00AE0EE2">
        <w:rPr>
          <w:rFonts w:ascii="Garamond" w:hAnsi="Garamond" w:cs="Times New Roman"/>
          <w:sz w:val="23"/>
          <w:szCs w:val="23"/>
          <w:lang w:val="en-US"/>
        </w:rPr>
        <w:t>Similarly, the number of people taken into custody, and therefore entered into the justice system, for their participation in assemblies or violation of the Law on Assemblies multiplied twofold from 2011 to 2015. The number of suspects detained under Law on Assemblies was 31,268 in 2015, and this number is projected to have increased in 2016.</w:t>
      </w:r>
    </w:p>
    <w:p w14:paraId="631F91C7" w14:textId="77777777" w:rsidR="00240CE2" w:rsidRDefault="00240CE2">
      <w:pPr>
        <w:rPr>
          <w:rFonts w:ascii="Garamond" w:hAnsi="Garamond" w:cs="Times New Roman"/>
          <w:sz w:val="23"/>
          <w:szCs w:val="23"/>
          <w:lang w:val="en-US"/>
        </w:rPr>
      </w:pPr>
      <w:r w:rsidRPr="00AE0EE2">
        <w:rPr>
          <w:rFonts w:ascii="Garamond" w:hAnsi="Garamond" w:cs="Times New Roman"/>
          <w:sz w:val="23"/>
          <w:szCs w:val="23"/>
          <w:lang w:val="en-US"/>
        </w:rPr>
        <w:lastRenderedPageBreak/>
        <w:t xml:space="preserve">From the media scans, of the 2088 people who were taken into custody, 147 were established to have been arrested by </w:t>
      </w:r>
      <w:r w:rsidR="00252107" w:rsidRPr="00AE0EE2">
        <w:rPr>
          <w:rFonts w:ascii="Garamond" w:hAnsi="Garamond" w:cs="Times New Roman"/>
          <w:sz w:val="23"/>
          <w:szCs w:val="23"/>
          <w:lang w:val="en-US"/>
        </w:rPr>
        <w:t xml:space="preserve">the </w:t>
      </w:r>
      <w:r w:rsidRPr="00AE0EE2">
        <w:rPr>
          <w:rFonts w:ascii="Garamond" w:hAnsi="Garamond" w:cs="Times New Roman"/>
          <w:sz w:val="23"/>
          <w:szCs w:val="23"/>
          <w:lang w:val="en-US"/>
        </w:rPr>
        <w:t xml:space="preserve">court, on </w:t>
      </w:r>
      <w:r w:rsidR="00B16182" w:rsidRPr="00AE0EE2">
        <w:rPr>
          <w:rFonts w:ascii="Garamond" w:hAnsi="Garamond" w:cs="Times New Roman"/>
          <w:sz w:val="23"/>
          <w:szCs w:val="23"/>
          <w:lang w:val="en-US"/>
        </w:rPr>
        <w:t>charges of violation the Law on Assemblies. It is not known if investigations are continuing on those who were released by the court</w:t>
      </w:r>
      <w:r w:rsidR="00BF362E" w:rsidRPr="00AE0EE2">
        <w:rPr>
          <w:rFonts w:ascii="Garamond" w:hAnsi="Garamond" w:cs="Times New Roman"/>
          <w:sz w:val="23"/>
          <w:szCs w:val="23"/>
          <w:lang w:val="en-US"/>
        </w:rPr>
        <w:t>, or whether those arrested by the court were found guilty at the end of the judicial process</w:t>
      </w:r>
      <w:r w:rsidR="00B16182" w:rsidRPr="00AE0EE2">
        <w:rPr>
          <w:rFonts w:ascii="Garamond" w:hAnsi="Garamond" w:cs="Times New Roman"/>
          <w:sz w:val="23"/>
          <w:szCs w:val="23"/>
          <w:lang w:val="en-US"/>
        </w:rPr>
        <w:t xml:space="preserve">. </w:t>
      </w:r>
      <w:r w:rsidR="004768C9" w:rsidRPr="00AE0EE2">
        <w:rPr>
          <w:rFonts w:ascii="Garamond" w:hAnsi="Garamond" w:cs="Times New Roman"/>
          <w:sz w:val="23"/>
          <w:szCs w:val="23"/>
          <w:lang w:val="en-US"/>
        </w:rPr>
        <w:t xml:space="preserve">Similarly, it is not known </w:t>
      </w:r>
      <w:r w:rsidR="00252107" w:rsidRPr="00AE0EE2">
        <w:rPr>
          <w:rFonts w:ascii="Garamond" w:hAnsi="Garamond" w:cs="Times New Roman"/>
          <w:sz w:val="23"/>
          <w:szCs w:val="23"/>
          <w:lang w:val="en-US"/>
        </w:rPr>
        <w:t xml:space="preserve">if there </w:t>
      </w:r>
      <w:proofErr w:type="gramStart"/>
      <w:r w:rsidR="00252107" w:rsidRPr="00AE0EE2">
        <w:rPr>
          <w:rFonts w:ascii="Garamond" w:hAnsi="Garamond" w:cs="Times New Roman"/>
          <w:sz w:val="23"/>
          <w:szCs w:val="23"/>
          <w:lang w:val="en-US"/>
        </w:rPr>
        <w:t>were any other form</w:t>
      </w:r>
      <w:proofErr w:type="gramEnd"/>
      <w:r w:rsidR="00252107" w:rsidRPr="00AE0EE2">
        <w:rPr>
          <w:rFonts w:ascii="Garamond" w:hAnsi="Garamond" w:cs="Times New Roman"/>
          <w:sz w:val="23"/>
          <w:szCs w:val="23"/>
          <w:lang w:val="en-US"/>
        </w:rPr>
        <w:t xml:space="preserve"> of punishment for attending an assembly, such as being fired or demoted from one’s job. However, it was observed that </w:t>
      </w:r>
      <w:r w:rsidR="00BF362E" w:rsidRPr="00AE0EE2">
        <w:rPr>
          <w:rFonts w:ascii="Garamond" w:hAnsi="Garamond" w:cs="Times New Roman"/>
          <w:sz w:val="23"/>
          <w:szCs w:val="23"/>
          <w:lang w:val="en-US"/>
        </w:rPr>
        <w:t>civil servants and academics were forced by their employers to attend</w:t>
      </w:r>
      <w:r w:rsidR="00252107" w:rsidRPr="00AE0EE2">
        <w:rPr>
          <w:rFonts w:ascii="Garamond" w:hAnsi="Garamond" w:cs="Times New Roman"/>
          <w:sz w:val="23"/>
          <w:szCs w:val="23"/>
          <w:lang w:val="en-US"/>
        </w:rPr>
        <w:t xml:space="preserve"> government-organized rallies</w:t>
      </w:r>
      <w:r w:rsidR="00BF362E" w:rsidRPr="00AE0EE2">
        <w:rPr>
          <w:rFonts w:ascii="Garamond" w:hAnsi="Garamond" w:cs="Times New Roman"/>
          <w:sz w:val="23"/>
          <w:szCs w:val="23"/>
          <w:lang w:val="en-US"/>
        </w:rPr>
        <w:t xml:space="preserve"> following the coup-attempt, and that those who did not attend were labeled as coup supporters. </w:t>
      </w:r>
      <w:r w:rsidR="00A342DF" w:rsidRPr="00AE0EE2">
        <w:rPr>
          <w:rFonts w:ascii="Garamond" w:hAnsi="Garamond" w:cs="Times New Roman"/>
          <w:sz w:val="23"/>
          <w:szCs w:val="23"/>
          <w:lang w:val="en-US"/>
        </w:rPr>
        <w:t xml:space="preserve"> Overall, the increase of those prosecuted under the Law on Assemblies had a stark increase from 2011 to 2014, and this </w:t>
      </w:r>
      <w:proofErr w:type="gramStart"/>
      <w:r w:rsidR="00A342DF" w:rsidRPr="00AE0EE2">
        <w:rPr>
          <w:rFonts w:ascii="Garamond" w:hAnsi="Garamond" w:cs="Times New Roman"/>
          <w:sz w:val="23"/>
          <w:szCs w:val="23"/>
          <w:lang w:val="en-US"/>
        </w:rPr>
        <w:t>upwards</w:t>
      </w:r>
      <w:proofErr w:type="gramEnd"/>
      <w:r w:rsidR="00A342DF" w:rsidRPr="00AE0EE2">
        <w:rPr>
          <w:rFonts w:ascii="Garamond" w:hAnsi="Garamond" w:cs="Times New Roman"/>
          <w:sz w:val="23"/>
          <w:szCs w:val="23"/>
          <w:lang w:val="en-US"/>
        </w:rPr>
        <w:t xml:space="preserve"> trend is expected to have continued during the monitoring period. </w:t>
      </w:r>
    </w:p>
    <w:p w14:paraId="4D287814" w14:textId="77777777" w:rsidR="00D41F65" w:rsidRPr="00AE0EE2" w:rsidRDefault="00D41F65">
      <w:pPr>
        <w:rPr>
          <w:rFonts w:ascii="Garamond" w:hAnsi="Garamond" w:cs="Times New Roman"/>
          <w:sz w:val="23"/>
          <w:szCs w:val="23"/>
          <w:lang w:val="en-US"/>
        </w:rPr>
      </w:pPr>
    </w:p>
    <w:p w14:paraId="2493699D" w14:textId="77777777" w:rsidR="00A92489" w:rsidRPr="00AE0EE2" w:rsidRDefault="00A342DF">
      <w:pPr>
        <w:rPr>
          <w:rFonts w:ascii="Garamond" w:hAnsi="Garamond" w:cs="Times New Roman"/>
          <w:sz w:val="23"/>
          <w:szCs w:val="23"/>
          <w:lang w:val="en-US"/>
        </w:rPr>
      </w:pPr>
      <w:r w:rsidRPr="00AE0EE2">
        <w:rPr>
          <w:rFonts w:ascii="Garamond" w:hAnsi="Garamond" w:cs="Times New Roman"/>
          <w:noProof/>
          <w:sz w:val="23"/>
          <w:szCs w:val="23"/>
          <w:lang w:val="en-US"/>
        </w:rPr>
        <w:drawing>
          <wp:anchor distT="0" distB="0" distL="114300" distR="114300" simplePos="0" relativeHeight="251662336" behindDoc="0" locked="0" layoutInCell="1" allowOverlap="1" wp14:anchorId="7AB1EE9E" wp14:editId="171C2301">
            <wp:simplePos x="0" y="0"/>
            <wp:positionH relativeFrom="column">
              <wp:posOffset>471805</wp:posOffset>
            </wp:positionH>
            <wp:positionV relativeFrom="paragraph">
              <wp:posOffset>6350</wp:posOffset>
            </wp:positionV>
            <wp:extent cx="4752975" cy="2657475"/>
            <wp:effectExtent l="0" t="0" r="9525" b="9525"/>
            <wp:wrapSquare wrapText="bothSides"/>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4647776A" w14:textId="77777777" w:rsidR="000B6B43" w:rsidRPr="00AE0EE2" w:rsidRDefault="000B6B43">
      <w:pPr>
        <w:rPr>
          <w:rFonts w:ascii="Garamond" w:hAnsi="Garamond" w:cs="Times New Roman"/>
          <w:sz w:val="23"/>
          <w:szCs w:val="23"/>
          <w:lang w:val="en-US"/>
        </w:rPr>
      </w:pPr>
    </w:p>
    <w:p w14:paraId="3EBCED02" w14:textId="77777777" w:rsidR="000B6B43" w:rsidRPr="00AE0EE2" w:rsidRDefault="000B6B43">
      <w:pPr>
        <w:rPr>
          <w:rFonts w:ascii="Garamond" w:hAnsi="Garamond" w:cs="Times New Roman"/>
          <w:sz w:val="23"/>
          <w:szCs w:val="23"/>
          <w:lang w:val="en-US"/>
        </w:rPr>
      </w:pPr>
    </w:p>
    <w:p w14:paraId="70DD34D9" w14:textId="77777777" w:rsidR="00076270" w:rsidRPr="00AE0EE2" w:rsidRDefault="00076270">
      <w:pPr>
        <w:rPr>
          <w:rFonts w:ascii="Garamond" w:hAnsi="Garamond" w:cs="Times New Roman"/>
          <w:sz w:val="23"/>
          <w:szCs w:val="23"/>
          <w:lang w:val="en-US"/>
        </w:rPr>
      </w:pPr>
    </w:p>
    <w:p w14:paraId="714161D7" w14:textId="77777777" w:rsidR="00A342DF" w:rsidRPr="00AE0EE2" w:rsidRDefault="00A342DF">
      <w:pPr>
        <w:rPr>
          <w:rFonts w:ascii="Garamond" w:hAnsi="Garamond" w:cs="Times New Roman"/>
          <w:b/>
          <w:sz w:val="23"/>
          <w:szCs w:val="23"/>
          <w:lang w:val="en-US"/>
        </w:rPr>
      </w:pPr>
    </w:p>
    <w:p w14:paraId="74535C6E" w14:textId="77777777" w:rsidR="00A342DF" w:rsidRPr="00AE0EE2" w:rsidRDefault="00A342DF">
      <w:pPr>
        <w:rPr>
          <w:rFonts w:ascii="Garamond" w:hAnsi="Garamond" w:cs="Times New Roman"/>
          <w:b/>
          <w:sz w:val="23"/>
          <w:szCs w:val="23"/>
          <w:lang w:val="en-US"/>
        </w:rPr>
      </w:pPr>
    </w:p>
    <w:p w14:paraId="3D0DD462" w14:textId="77777777" w:rsidR="00A342DF" w:rsidRPr="00AE0EE2" w:rsidRDefault="00A342DF">
      <w:pPr>
        <w:rPr>
          <w:rFonts w:ascii="Garamond" w:hAnsi="Garamond" w:cs="Times New Roman"/>
          <w:b/>
          <w:sz w:val="23"/>
          <w:szCs w:val="23"/>
          <w:lang w:val="en-US"/>
        </w:rPr>
      </w:pPr>
    </w:p>
    <w:p w14:paraId="56998725" w14:textId="77777777" w:rsidR="00A342DF" w:rsidRPr="00AE0EE2" w:rsidRDefault="00A342DF">
      <w:pPr>
        <w:rPr>
          <w:rFonts w:ascii="Garamond" w:hAnsi="Garamond" w:cs="Times New Roman"/>
          <w:b/>
          <w:sz w:val="23"/>
          <w:szCs w:val="23"/>
          <w:lang w:val="en-US"/>
        </w:rPr>
      </w:pPr>
    </w:p>
    <w:p w14:paraId="5AE28496" w14:textId="77777777" w:rsidR="00A342DF" w:rsidRPr="00AE0EE2" w:rsidRDefault="00A342DF">
      <w:pPr>
        <w:rPr>
          <w:rFonts w:ascii="Garamond" w:hAnsi="Garamond" w:cs="Times New Roman"/>
          <w:b/>
          <w:sz w:val="23"/>
          <w:szCs w:val="23"/>
          <w:lang w:val="en-US"/>
        </w:rPr>
      </w:pPr>
    </w:p>
    <w:p w14:paraId="3F0548C8" w14:textId="77777777" w:rsidR="00F24A68" w:rsidRPr="00AE0EE2" w:rsidRDefault="00F24A68">
      <w:pPr>
        <w:rPr>
          <w:rFonts w:ascii="Garamond" w:hAnsi="Garamond" w:cs="Times New Roman"/>
          <w:b/>
          <w:sz w:val="23"/>
          <w:szCs w:val="23"/>
          <w:lang w:val="en-US"/>
        </w:rPr>
      </w:pPr>
    </w:p>
    <w:p w14:paraId="48C5F5C6" w14:textId="77777777" w:rsidR="00604156" w:rsidRPr="00AE0EE2" w:rsidRDefault="00604156">
      <w:pPr>
        <w:rPr>
          <w:rFonts w:ascii="Garamond" w:hAnsi="Garamond" w:cs="Times New Roman"/>
          <w:b/>
          <w:sz w:val="23"/>
          <w:szCs w:val="23"/>
          <w:lang w:val="en-US"/>
        </w:rPr>
      </w:pPr>
    </w:p>
    <w:p w14:paraId="6D7293F4" w14:textId="77777777" w:rsidR="00AE0EE2" w:rsidRPr="00AE0EE2" w:rsidRDefault="00AE0EE2">
      <w:pPr>
        <w:rPr>
          <w:rFonts w:ascii="Garamond" w:hAnsi="Garamond" w:cs="Times New Roman"/>
          <w:b/>
          <w:sz w:val="23"/>
          <w:szCs w:val="23"/>
          <w:lang w:val="en-US"/>
        </w:rPr>
      </w:pPr>
    </w:p>
    <w:p w14:paraId="5FA2EE7A" w14:textId="77777777" w:rsidR="00AE0EE2" w:rsidRPr="00AE0EE2" w:rsidRDefault="00AE0EE2">
      <w:pPr>
        <w:rPr>
          <w:rFonts w:ascii="Garamond" w:hAnsi="Garamond" w:cs="Times New Roman"/>
          <w:b/>
          <w:sz w:val="23"/>
          <w:szCs w:val="23"/>
          <w:lang w:val="en-US"/>
        </w:rPr>
      </w:pPr>
    </w:p>
    <w:p w14:paraId="08A39B76" w14:textId="77777777" w:rsidR="00AE0EE2" w:rsidRPr="00AE0EE2" w:rsidRDefault="00AE0EE2">
      <w:pPr>
        <w:rPr>
          <w:rFonts w:ascii="Garamond" w:hAnsi="Garamond" w:cs="Times New Roman"/>
          <w:b/>
          <w:sz w:val="23"/>
          <w:szCs w:val="23"/>
          <w:lang w:val="en-US"/>
        </w:rPr>
      </w:pPr>
    </w:p>
    <w:p w14:paraId="078FA8E1" w14:textId="77777777" w:rsidR="00AE0EE2" w:rsidRPr="00AE0EE2" w:rsidRDefault="00AE0EE2">
      <w:pPr>
        <w:rPr>
          <w:rFonts w:ascii="Garamond" w:hAnsi="Garamond" w:cs="Times New Roman"/>
          <w:b/>
          <w:sz w:val="23"/>
          <w:szCs w:val="23"/>
          <w:lang w:val="en-US"/>
        </w:rPr>
      </w:pPr>
    </w:p>
    <w:p w14:paraId="2D4E7D42" w14:textId="77777777" w:rsidR="00AE0EE2" w:rsidRPr="00AE0EE2" w:rsidRDefault="00AE0EE2">
      <w:pPr>
        <w:rPr>
          <w:rFonts w:ascii="Garamond" w:hAnsi="Garamond" w:cs="Times New Roman"/>
          <w:b/>
          <w:sz w:val="23"/>
          <w:szCs w:val="23"/>
          <w:lang w:val="en-US"/>
        </w:rPr>
      </w:pPr>
    </w:p>
    <w:p w14:paraId="37280553" w14:textId="77777777" w:rsidR="00AE0EE2" w:rsidRPr="00AE0EE2" w:rsidRDefault="00AE0EE2">
      <w:pPr>
        <w:rPr>
          <w:rFonts w:ascii="Garamond" w:hAnsi="Garamond" w:cs="Times New Roman"/>
          <w:b/>
          <w:sz w:val="23"/>
          <w:szCs w:val="23"/>
          <w:lang w:val="en-US"/>
        </w:rPr>
      </w:pPr>
    </w:p>
    <w:p w14:paraId="15610B69" w14:textId="77777777" w:rsidR="00AE0EE2" w:rsidRPr="00AE0EE2" w:rsidRDefault="00AE0EE2">
      <w:pPr>
        <w:rPr>
          <w:rFonts w:ascii="Garamond" w:hAnsi="Garamond" w:cs="Times New Roman"/>
          <w:b/>
          <w:sz w:val="23"/>
          <w:szCs w:val="23"/>
          <w:lang w:val="en-US"/>
        </w:rPr>
      </w:pPr>
    </w:p>
    <w:p w14:paraId="46FF6ED8" w14:textId="77777777" w:rsidR="00AE0EE2" w:rsidRPr="00AE0EE2" w:rsidRDefault="00AE0EE2">
      <w:pPr>
        <w:rPr>
          <w:rFonts w:ascii="Garamond" w:hAnsi="Garamond" w:cs="Times New Roman"/>
          <w:b/>
          <w:sz w:val="23"/>
          <w:szCs w:val="23"/>
          <w:lang w:val="en-US"/>
        </w:rPr>
      </w:pPr>
    </w:p>
    <w:p w14:paraId="504C3B0B" w14:textId="77777777" w:rsidR="00AE0EE2" w:rsidRPr="00AE0EE2" w:rsidRDefault="00AE0EE2">
      <w:pPr>
        <w:rPr>
          <w:rFonts w:ascii="Garamond" w:hAnsi="Garamond" w:cs="Times New Roman"/>
          <w:b/>
          <w:sz w:val="23"/>
          <w:szCs w:val="23"/>
          <w:lang w:val="en-US"/>
        </w:rPr>
      </w:pPr>
    </w:p>
    <w:p w14:paraId="17820863" w14:textId="77777777" w:rsidR="00AE0EE2" w:rsidRPr="00AE0EE2" w:rsidRDefault="00AE0EE2">
      <w:pPr>
        <w:rPr>
          <w:rFonts w:ascii="Garamond" w:hAnsi="Garamond" w:cs="Times New Roman"/>
          <w:b/>
          <w:sz w:val="23"/>
          <w:szCs w:val="23"/>
          <w:lang w:val="en-US"/>
        </w:rPr>
      </w:pPr>
    </w:p>
    <w:p w14:paraId="72888D50" w14:textId="77777777" w:rsidR="00D41F65" w:rsidRDefault="00D41F65" w:rsidP="00AE0EE2">
      <w:pPr>
        <w:jc w:val="center"/>
        <w:rPr>
          <w:rFonts w:ascii="Garamond" w:hAnsi="Garamond" w:cs="Times New Roman"/>
          <w:b/>
          <w:sz w:val="23"/>
          <w:szCs w:val="23"/>
          <w:lang w:val="en-US"/>
        </w:rPr>
      </w:pPr>
    </w:p>
    <w:p w14:paraId="7BA21D9C" w14:textId="77777777" w:rsidR="0056610C" w:rsidRDefault="0056610C" w:rsidP="00AE0EE2">
      <w:pPr>
        <w:jc w:val="center"/>
        <w:rPr>
          <w:rFonts w:ascii="Garamond" w:hAnsi="Garamond" w:cs="Times New Roman"/>
          <w:b/>
          <w:sz w:val="28"/>
          <w:szCs w:val="28"/>
          <w:lang w:val="en-US"/>
        </w:rPr>
      </w:pPr>
    </w:p>
    <w:p w14:paraId="1556EB13" w14:textId="77777777" w:rsidR="0056610C" w:rsidRDefault="0056610C" w:rsidP="00AE0EE2">
      <w:pPr>
        <w:jc w:val="center"/>
        <w:rPr>
          <w:rFonts w:ascii="Garamond" w:hAnsi="Garamond" w:cs="Times New Roman"/>
          <w:b/>
          <w:sz w:val="28"/>
          <w:szCs w:val="28"/>
          <w:lang w:val="en-US"/>
        </w:rPr>
      </w:pPr>
    </w:p>
    <w:p w14:paraId="4285060D" w14:textId="77777777" w:rsidR="00C16AA4" w:rsidRPr="00D41F65" w:rsidRDefault="00C16AA4" w:rsidP="00AE0EE2">
      <w:pPr>
        <w:jc w:val="center"/>
        <w:rPr>
          <w:rFonts w:ascii="Garamond" w:hAnsi="Garamond" w:cs="Times New Roman"/>
          <w:b/>
          <w:sz w:val="28"/>
          <w:szCs w:val="28"/>
          <w:lang w:val="en-US"/>
        </w:rPr>
      </w:pPr>
      <w:r w:rsidRPr="00D41F65">
        <w:rPr>
          <w:rFonts w:ascii="Garamond" w:hAnsi="Garamond" w:cs="Times New Roman"/>
          <w:b/>
          <w:sz w:val="28"/>
          <w:szCs w:val="28"/>
          <w:lang w:val="en-US"/>
        </w:rPr>
        <w:lastRenderedPageBreak/>
        <w:t>Conclusion</w:t>
      </w:r>
    </w:p>
    <w:p w14:paraId="04460BE0" w14:textId="77777777" w:rsidR="00B1676C" w:rsidRPr="00AE0EE2" w:rsidRDefault="00BB1704">
      <w:pPr>
        <w:rPr>
          <w:rFonts w:ascii="Garamond" w:hAnsi="Garamond" w:cs="Times New Roman"/>
          <w:sz w:val="23"/>
          <w:szCs w:val="23"/>
          <w:lang w:val="en-US"/>
        </w:rPr>
      </w:pPr>
      <w:r w:rsidRPr="00AE0EE2">
        <w:rPr>
          <w:rFonts w:ascii="Garamond" w:hAnsi="Garamond" w:cs="Times New Roman"/>
          <w:sz w:val="23"/>
          <w:szCs w:val="23"/>
          <w:lang w:val="en-US"/>
        </w:rPr>
        <w:t xml:space="preserve">The freedom of </w:t>
      </w:r>
      <w:r w:rsidR="00B1676C" w:rsidRPr="00AE0EE2">
        <w:rPr>
          <w:rFonts w:ascii="Garamond" w:hAnsi="Garamond" w:cs="Times New Roman"/>
          <w:sz w:val="23"/>
          <w:szCs w:val="23"/>
          <w:lang w:val="en-US"/>
        </w:rPr>
        <w:t xml:space="preserve">peaceful assembly </w:t>
      </w:r>
      <w:r w:rsidRPr="00AE0EE2">
        <w:rPr>
          <w:rFonts w:ascii="Garamond" w:hAnsi="Garamond" w:cs="Times New Roman"/>
          <w:sz w:val="23"/>
          <w:szCs w:val="23"/>
          <w:lang w:val="en-US"/>
        </w:rPr>
        <w:t xml:space="preserve">is a constricted right in Turkey, both in laws and in practice. </w:t>
      </w:r>
      <w:r w:rsidR="0009422F" w:rsidRPr="00AE0EE2">
        <w:rPr>
          <w:rFonts w:ascii="Garamond" w:hAnsi="Garamond" w:cs="Times New Roman"/>
          <w:sz w:val="23"/>
          <w:szCs w:val="23"/>
          <w:lang w:val="en-US"/>
        </w:rPr>
        <w:t>The violations</w:t>
      </w:r>
      <w:r w:rsidR="00604156" w:rsidRPr="00AE0EE2">
        <w:rPr>
          <w:rFonts w:ascii="Garamond" w:hAnsi="Garamond" w:cs="Times New Roman"/>
          <w:sz w:val="23"/>
          <w:szCs w:val="23"/>
          <w:lang w:val="en-US"/>
        </w:rPr>
        <w:t xml:space="preserve"> have been categorized under five</w:t>
      </w:r>
      <w:r w:rsidR="0009422F" w:rsidRPr="00AE0EE2">
        <w:rPr>
          <w:rFonts w:ascii="Garamond" w:hAnsi="Garamond" w:cs="Times New Roman"/>
          <w:sz w:val="23"/>
          <w:szCs w:val="23"/>
          <w:lang w:val="en-US"/>
        </w:rPr>
        <w:t xml:space="preserve"> headings:</w:t>
      </w:r>
    </w:p>
    <w:p w14:paraId="0E423A1D" w14:textId="77777777" w:rsidR="000B2FC4" w:rsidRPr="00AE0EE2" w:rsidRDefault="0009422F" w:rsidP="00AE0EE2">
      <w:pPr>
        <w:pStyle w:val="ListParagraph"/>
        <w:numPr>
          <w:ilvl w:val="0"/>
          <w:numId w:val="2"/>
        </w:numPr>
        <w:rPr>
          <w:rFonts w:ascii="Garamond" w:hAnsi="Garamond" w:cs="Times New Roman"/>
          <w:b/>
          <w:sz w:val="23"/>
          <w:szCs w:val="23"/>
          <w:lang w:val="en-US"/>
        </w:rPr>
      </w:pPr>
      <w:r w:rsidRPr="00AE0EE2">
        <w:rPr>
          <w:rFonts w:ascii="Garamond" w:hAnsi="Garamond" w:cs="Times New Roman"/>
          <w:b/>
          <w:sz w:val="23"/>
          <w:szCs w:val="23"/>
          <w:lang w:val="en-US"/>
        </w:rPr>
        <w:t>The national laws regulating freedom of assembly in Turkey are incompatible with international standards.</w:t>
      </w:r>
    </w:p>
    <w:p w14:paraId="1DBC24AF" w14:textId="77777777" w:rsidR="00A05759" w:rsidRPr="00AE0EE2" w:rsidRDefault="000B2FC4" w:rsidP="00AE0EE2">
      <w:pPr>
        <w:rPr>
          <w:rFonts w:ascii="Garamond" w:hAnsi="Garamond" w:cs="Times New Roman"/>
          <w:sz w:val="23"/>
          <w:szCs w:val="23"/>
          <w:lang w:val="en-US"/>
        </w:rPr>
      </w:pPr>
      <w:r w:rsidRPr="00AE0EE2">
        <w:rPr>
          <w:rFonts w:ascii="Garamond" w:hAnsi="Garamond" w:cs="Times New Roman"/>
          <w:sz w:val="23"/>
          <w:szCs w:val="23"/>
          <w:lang w:val="en-US"/>
        </w:rPr>
        <w:t>The Turkish Constitution recognizes the right to peaceful assembly, and only prescribes national security, public order, prevention of commission of crime, protection of public health and public morals as appropriate grounds of restricting this right. This article is consistent with European Convention article on the freedom of assembly. However, the law regulating the specifics of the right is overarching and surpasses the grounds prescribed by the Constitution and internati</w:t>
      </w:r>
      <w:r w:rsidR="00A04393" w:rsidRPr="00AE0EE2">
        <w:rPr>
          <w:rFonts w:ascii="Garamond" w:hAnsi="Garamond" w:cs="Times New Roman"/>
          <w:sz w:val="23"/>
          <w:szCs w:val="23"/>
          <w:lang w:val="en-US"/>
        </w:rPr>
        <w:t xml:space="preserve">onal standards. </w:t>
      </w:r>
    </w:p>
    <w:p w14:paraId="55D7FF40" w14:textId="77777777" w:rsidR="000B2FC4" w:rsidRPr="00AE0EE2" w:rsidRDefault="00A04393" w:rsidP="00AE0EE2">
      <w:pPr>
        <w:rPr>
          <w:rFonts w:ascii="Garamond" w:hAnsi="Garamond" w:cs="Times New Roman"/>
          <w:sz w:val="23"/>
          <w:szCs w:val="23"/>
          <w:lang w:val="en-US"/>
        </w:rPr>
      </w:pPr>
      <w:r w:rsidRPr="00AE0EE2">
        <w:rPr>
          <w:rFonts w:ascii="Garamond" w:hAnsi="Garamond" w:cs="Times New Roman"/>
          <w:sz w:val="23"/>
          <w:szCs w:val="23"/>
          <w:lang w:val="en-US"/>
        </w:rPr>
        <w:t xml:space="preserve">The law places general bans on assemblies in certain public spaces, such as parks, roads, and public office buildings. Even though the Constitution and international standards recognize this right as for everyone, the Law on Assemblies legislates that foreign country citizens have to get authorization from the Interior Ministry to organize meetings and demonstrations. The law also </w:t>
      </w:r>
      <w:r w:rsidR="00A05759" w:rsidRPr="00AE0EE2">
        <w:rPr>
          <w:rFonts w:ascii="Garamond" w:hAnsi="Garamond" w:cs="Times New Roman"/>
          <w:sz w:val="23"/>
          <w:szCs w:val="23"/>
          <w:lang w:val="en-US"/>
        </w:rPr>
        <w:t xml:space="preserve">has a notification obligation for assemblies, which means that spontaneous assemblies are automatically considered as illegal. The regulations also give unlimited power to security forces in intervening with assemblies. Authorities can set up video recording equipment on the venue of the assembly and record the event. The law also gives the police the authority to end assemblies if the ‘aim and purpose’ of the assembly exceeds that stated in the notification, and if ‘order and peace’ are disrupted. </w:t>
      </w:r>
      <w:r w:rsidR="00EB205B" w:rsidRPr="00AE0EE2">
        <w:rPr>
          <w:rFonts w:ascii="Garamond" w:hAnsi="Garamond" w:cs="Times New Roman"/>
          <w:sz w:val="23"/>
          <w:szCs w:val="23"/>
          <w:lang w:val="en-US"/>
        </w:rPr>
        <w:t>The laws also regulate the content of the assemblies. “[Wearing</w:t>
      </w:r>
      <w:proofErr w:type="gramStart"/>
      <w:r w:rsidR="00EB205B" w:rsidRPr="00AE0EE2">
        <w:rPr>
          <w:rFonts w:ascii="Garamond" w:hAnsi="Garamond" w:cs="Times New Roman"/>
          <w:sz w:val="23"/>
          <w:szCs w:val="23"/>
          <w:lang w:val="en-US"/>
        </w:rPr>
        <w:t>]  symbols</w:t>
      </w:r>
      <w:proofErr w:type="gramEnd"/>
      <w:r w:rsidR="00EB205B" w:rsidRPr="00AE0EE2">
        <w:rPr>
          <w:rFonts w:ascii="Garamond" w:hAnsi="Garamond" w:cs="Times New Roman"/>
          <w:sz w:val="23"/>
          <w:szCs w:val="23"/>
          <w:lang w:val="en-US"/>
        </w:rPr>
        <w:t xml:space="preserve"> of illegal organizations, or attires resembling uniforms with these symbols… carrying banners, posters, placards, pictures, signs, tools and equipment defined to be illegal by the laws, or chanting or broadcasting such messages with a sound device slogans of this nature” are illegal, according to the law.</w:t>
      </w:r>
      <w:r w:rsidR="00ED27ED" w:rsidRPr="00AE0EE2">
        <w:rPr>
          <w:rFonts w:ascii="Garamond" w:hAnsi="Garamond" w:cs="Times New Roman"/>
          <w:sz w:val="23"/>
          <w:szCs w:val="23"/>
          <w:lang w:val="en-US"/>
        </w:rPr>
        <w:t xml:space="preserve"> The vague wording of these laws allow for any content in opposition to the government or current policies grounds for interference by the law enforcement.</w:t>
      </w:r>
    </w:p>
    <w:p w14:paraId="5A68247F" w14:textId="77777777" w:rsidR="000B2FC4" w:rsidRPr="00AE0EE2" w:rsidRDefault="00A05759" w:rsidP="00AE0EE2">
      <w:pPr>
        <w:rPr>
          <w:rFonts w:ascii="Garamond" w:hAnsi="Garamond" w:cs="Times New Roman"/>
          <w:sz w:val="23"/>
          <w:szCs w:val="23"/>
          <w:lang w:val="en-US"/>
        </w:rPr>
      </w:pPr>
      <w:r w:rsidRPr="00AE0EE2">
        <w:rPr>
          <w:rFonts w:ascii="Garamond" w:hAnsi="Garamond" w:cs="Times New Roman"/>
          <w:sz w:val="23"/>
          <w:szCs w:val="23"/>
          <w:lang w:val="en-US"/>
        </w:rPr>
        <w:t xml:space="preserve">These laws form the foundation on which actions of public authorities act. Therefore, they are the first </w:t>
      </w:r>
      <w:proofErr w:type="gramStart"/>
      <w:r w:rsidRPr="00AE0EE2">
        <w:rPr>
          <w:rFonts w:ascii="Garamond" w:hAnsi="Garamond" w:cs="Times New Roman"/>
          <w:sz w:val="23"/>
          <w:szCs w:val="23"/>
          <w:lang w:val="en-US"/>
        </w:rPr>
        <w:t>obstacle</w:t>
      </w:r>
      <w:proofErr w:type="gramEnd"/>
      <w:r w:rsidRPr="00AE0EE2">
        <w:rPr>
          <w:rFonts w:ascii="Garamond" w:hAnsi="Garamond" w:cs="Times New Roman"/>
          <w:sz w:val="23"/>
          <w:szCs w:val="23"/>
          <w:lang w:val="en-US"/>
        </w:rPr>
        <w:t xml:space="preserve"> in exercising the right to assemble. Although the discrepancies within Turkish law and with international obligations regarding the freedom of assembly is widely pointed out</w:t>
      </w:r>
      <w:r w:rsidR="00716D64" w:rsidRPr="00AE0EE2">
        <w:rPr>
          <w:rStyle w:val="FootnoteReference"/>
          <w:rFonts w:ascii="Garamond" w:hAnsi="Garamond" w:cs="Times New Roman"/>
          <w:sz w:val="23"/>
          <w:szCs w:val="23"/>
          <w:lang w:val="en-US"/>
        </w:rPr>
        <w:footnoteReference w:id="4"/>
      </w:r>
      <w:r w:rsidRPr="00AE0EE2">
        <w:rPr>
          <w:rFonts w:ascii="Garamond" w:hAnsi="Garamond" w:cs="Times New Roman"/>
          <w:sz w:val="23"/>
          <w:szCs w:val="23"/>
          <w:lang w:val="en-US"/>
        </w:rPr>
        <w:t xml:space="preserve">, the Turkish </w:t>
      </w:r>
      <w:r w:rsidR="00EB205B" w:rsidRPr="00AE0EE2">
        <w:rPr>
          <w:rFonts w:ascii="Garamond" w:hAnsi="Garamond" w:cs="Times New Roman"/>
          <w:sz w:val="23"/>
          <w:szCs w:val="23"/>
          <w:lang w:val="en-US"/>
        </w:rPr>
        <w:t>government suggests that the right to peaceful assembly is protected by the Constitution, and the other laws on the issue are hierarchically below the Constitution, and therefore no improvements on compatibility are needed in this area.</w:t>
      </w:r>
      <w:r w:rsidR="00EB205B" w:rsidRPr="00AE0EE2">
        <w:rPr>
          <w:rStyle w:val="FootnoteReference"/>
          <w:rFonts w:ascii="Garamond" w:hAnsi="Garamond" w:cs="Times New Roman"/>
          <w:sz w:val="23"/>
          <w:szCs w:val="23"/>
          <w:lang w:val="en-US"/>
        </w:rPr>
        <w:footnoteReference w:id="5"/>
      </w:r>
    </w:p>
    <w:p w14:paraId="684D0BB4" w14:textId="77777777" w:rsidR="00F31862" w:rsidRPr="00AE0EE2" w:rsidRDefault="00F31862" w:rsidP="00AE0EE2">
      <w:pPr>
        <w:pStyle w:val="ListParagraph"/>
        <w:numPr>
          <w:ilvl w:val="0"/>
          <w:numId w:val="2"/>
        </w:numPr>
        <w:rPr>
          <w:rFonts w:ascii="Garamond" w:hAnsi="Garamond" w:cs="Times New Roman"/>
          <w:b/>
          <w:sz w:val="23"/>
          <w:szCs w:val="23"/>
          <w:lang w:val="en-US"/>
        </w:rPr>
      </w:pPr>
      <w:r w:rsidRPr="00AE0EE2">
        <w:rPr>
          <w:rFonts w:ascii="Garamond" w:hAnsi="Garamond" w:cs="Times New Roman"/>
          <w:b/>
          <w:sz w:val="23"/>
          <w:szCs w:val="23"/>
          <w:lang w:val="en-US"/>
        </w:rPr>
        <w:t>The discretionary powers of p</w:t>
      </w:r>
      <w:r w:rsidR="00ED0BAE" w:rsidRPr="00AE0EE2">
        <w:rPr>
          <w:rFonts w:ascii="Garamond" w:hAnsi="Garamond" w:cs="Times New Roman"/>
          <w:b/>
          <w:sz w:val="23"/>
          <w:szCs w:val="23"/>
          <w:lang w:val="en-US"/>
        </w:rPr>
        <w:t>ublic</w:t>
      </w:r>
      <w:r w:rsidR="0009422F" w:rsidRPr="00AE0EE2">
        <w:rPr>
          <w:rFonts w:ascii="Garamond" w:hAnsi="Garamond" w:cs="Times New Roman"/>
          <w:b/>
          <w:sz w:val="23"/>
          <w:szCs w:val="23"/>
          <w:lang w:val="en-US"/>
        </w:rPr>
        <w:t xml:space="preserve"> authorities are </w:t>
      </w:r>
      <w:r w:rsidRPr="00AE0EE2">
        <w:rPr>
          <w:rFonts w:ascii="Garamond" w:hAnsi="Garamond" w:cs="Times New Roman"/>
          <w:b/>
          <w:sz w:val="23"/>
          <w:szCs w:val="23"/>
          <w:lang w:val="en-US"/>
        </w:rPr>
        <w:t>too broad and overarching</w:t>
      </w:r>
    </w:p>
    <w:p w14:paraId="6EC6E3FC" w14:textId="77777777" w:rsidR="00AE0EE2" w:rsidRPr="00AE0EE2" w:rsidRDefault="00F31862" w:rsidP="00AE0EE2">
      <w:pPr>
        <w:rPr>
          <w:rFonts w:ascii="Garamond" w:hAnsi="Garamond" w:cs="Times New Roman"/>
          <w:sz w:val="23"/>
          <w:szCs w:val="23"/>
          <w:lang w:val="en-US"/>
        </w:rPr>
      </w:pPr>
      <w:r w:rsidRPr="00AE0EE2">
        <w:rPr>
          <w:rFonts w:ascii="Garamond" w:hAnsi="Garamond" w:cs="Times New Roman"/>
          <w:sz w:val="23"/>
          <w:szCs w:val="23"/>
          <w:lang w:val="en-US"/>
        </w:rPr>
        <w:t xml:space="preserve">The assembly laws in Turkey are overly vague and the </w:t>
      </w:r>
      <w:proofErr w:type="gramStart"/>
      <w:r w:rsidRPr="00AE0EE2">
        <w:rPr>
          <w:rFonts w:ascii="Garamond" w:hAnsi="Garamond" w:cs="Times New Roman"/>
          <w:sz w:val="23"/>
          <w:szCs w:val="23"/>
          <w:lang w:val="en-US"/>
        </w:rPr>
        <w:t>power to interpret them are</w:t>
      </w:r>
      <w:proofErr w:type="gramEnd"/>
      <w:r w:rsidRPr="00AE0EE2">
        <w:rPr>
          <w:rFonts w:ascii="Garamond" w:hAnsi="Garamond" w:cs="Times New Roman"/>
          <w:sz w:val="23"/>
          <w:szCs w:val="23"/>
          <w:lang w:val="en-US"/>
        </w:rPr>
        <w:t xml:space="preserve"> given to public authorities instead of the judiciary, severely hampering the right to peaceful assembly. The governors are given the power to postpone, and to cancel assemblies, they select the few areas available for assemblies each year, and they can even order for investigations to be started against those who hold assemblies despite of these bans. </w:t>
      </w:r>
    </w:p>
    <w:p w14:paraId="5F253474" w14:textId="77777777" w:rsidR="00F31862" w:rsidRPr="00AE0EE2" w:rsidRDefault="00B26CDF" w:rsidP="00AE0EE2">
      <w:pPr>
        <w:rPr>
          <w:rFonts w:ascii="Garamond" w:hAnsi="Garamond" w:cs="Times New Roman"/>
          <w:sz w:val="23"/>
          <w:szCs w:val="23"/>
          <w:lang w:val="en-US"/>
        </w:rPr>
      </w:pPr>
      <w:r w:rsidRPr="00AE0EE2">
        <w:rPr>
          <w:rFonts w:ascii="Garamond" w:hAnsi="Garamond" w:cs="Times New Roman"/>
          <w:sz w:val="23"/>
          <w:szCs w:val="23"/>
          <w:lang w:val="en-US"/>
        </w:rPr>
        <w:t xml:space="preserve">Although peaceful assemblies do not require permissions, they do require notifications. Notifications are given 48 hours in advance, with photocopies of the IDs, home and work addresses of organizers, starting and ending times of the assembly, and the purpose of the assembly. This already burdensome notification requirement works as a permission requirement in reality, since the governors also have the authority to ban events based on vague criteria of threat. Thus, most assemblies are intervened for </w:t>
      </w:r>
      <w:r w:rsidRPr="00AE0EE2">
        <w:rPr>
          <w:rFonts w:ascii="Garamond" w:hAnsi="Garamond" w:cs="Times New Roman"/>
          <w:sz w:val="23"/>
          <w:szCs w:val="23"/>
          <w:lang w:val="en-US"/>
        </w:rPr>
        <w:lastRenderedPageBreak/>
        <w:t xml:space="preserve">being ‘illegal’, or not allowed by the governor. This problem has reached such an extent that many organizers do not notify the authorities, knowing that the assembly would not be approved and security forces would be placed at the venue to disperse the ‘illegal assembly’ even before it begins. </w:t>
      </w:r>
    </w:p>
    <w:p w14:paraId="315A345D" w14:textId="77777777" w:rsidR="00B21219" w:rsidRPr="00AE0EE2" w:rsidRDefault="00B26CDF" w:rsidP="00AE0EE2">
      <w:pPr>
        <w:rPr>
          <w:rFonts w:ascii="Garamond" w:hAnsi="Garamond" w:cs="Times New Roman"/>
          <w:sz w:val="23"/>
          <w:szCs w:val="23"/>
          <w:lang w:val="en-US"/>
        </w:rPr>
      </w:pPr>
      <w:r w:rsidRPr="00AE0EE2">
        <w:rPr>
          <w:rFonts w:ascii="Garamond" w:hAnsi="Garamond" w:cs="Times New Roman"/>
          <w:sz w:val="23"/>
          <w:szCs w:val="23"/>
          <w:lang w:val="en-US"/>
        </w:rPr>
        <w:t>The governors also have broad powers of banning any form of assembly, demonstration, or marches for a period of time. During the State of Emergency, this power was extended to ban any form of protest speech or action for any duration of time. This power has led to interesting restrictions, such as a ban on reading newspapers collectively or creating a car convoy to protest or celebrate somet</w:t>
      </w:r>
      <w:r w:rsidR="00B21219" w:rsidRPr="00AE0EE2">
        <w:rPr>
          <w:rFonts w:ascii="Garamond" w:hAnsi="Garamond" w:cs="Times New Roman"/>
          <w:sz w:val="23"/>
          <w:szCs w:val="23"/>
          <w:lang w:val="en-US"/>
        </w:rPr>
        <w:t>hing. As pointed out in the 2014</w:t>
      </w:r>
      <w:r w:rsidRPr="00AE0EE2">
        <w:rPr>
          <w:rFonts w:ascii="Garamond" w:hAnsi="Garamond" w:cs="Times New Roman"/>
          <w:sz w:val="23"/>
          <w:szCs w:val="23"/>
          <w:lang w:val="en-US"/>
        </w:rPr>
        <w:t xml:space="preserve"> EU Progress Report, “concepts such as </w:t>
      </w:r>
      <w:r w:rsidR="00B21219" w:rsidRPr="00AE0EE2">
        <w:rPr>
          <w:rFonts w:ascii="Garamond" w:hAnsi="Garamond" w:cs="Times New Roman"/>
          <w:sz w:val="23"/>
          <w:szCs w:val="23"/>
          <w:lang w:val="en-US"/>
        </w:rPr>
        <w:t xml:space="preserve">‘general morality’, ‘Turkish family structure’, ‘national security’, and ‘public order’ were used widely and allowed too large a margin of discretion to authorities, hindering the respect in practice of </w:t>
      </w:r>
      <w:r w:rsidR="00B21219" w:rsidRPr="00AE0EE2">
        <w:rPr>
          <w:rFonts w:ascii="Garamond" w:hAnsi="Garamond" w:cs="Times New Roman"/>
          <w:b/>
          <w:sz w:val="23"/>
          <w:szCs w:val="23"/>
          <w:lang w:val="en-US"/>
        </w:rPr>
        <w:t>freedom of association</w:t>
      </w:r>
      <w:r w:rsidR="00B21219" w:rsidRPr="00AE0EE2">
        <w:rPr>
          <w:rFonts w:ascii="Garamond" w:hAnsi="Garamond" w:cs="Times New Roman"/>
          <w:sz w:val="23"/>
          <w:szCs w:val="23"/>
          <w:lang w:val="en-US"/>
        </w:rPr>
        <w:t>. Two LGBTI associations faced closure requests based on ‘general morality’.”</w:t>
      </w:r>
      <w:r w:rsidR="00B21219" w:rsidRPr="00AE0EE2">
        <w:rPr>
          <w:rStyle w:val="FootnoteReference"/>
          <w:rFonts w:ascii="Garamond" w:hAnsi="Garamond" w:cs="Times New Roman"/>
          <w:sz w:val="23"/>
          <w:szCs w:val="23"/>
          <w:lang w:val="en-US"/>
        </w:rPr>
        <w:footnoteReference w:id="6"/>
      </w:r>
      <w:r w:rsidR="00B21219" w:rsidRPr="00AE0EE2">
        <w:rPr>
          <w:rFonts w:ascii="Garamond" w:hAnsi="Garamond" w:cs="Times New Roman"/>
          <w:sz w:val="23"/>
          <w:szCs w:val="23"/>
          <w:lang w:val="en-US"/>
        </w:rPr>
        <w:t xml:space="preserve"> The </w:t>
      </w:r>
      <w:proofErr w:type="gramStart"/>
      <w:r w:rsidR="00B21219" w:rsidRPr="00AE0EE2">
        <w:rPr>
          <w:rFonts w:ascii="Garamond" w:hAnsi="Garamond" w:cs="Times New Roman"/>
          <w:sz w:val="23"/>
          <w:szCs w:val="23"/>
          <w:lang w:val="en-US"/>
        </w:rPr>
        <w:t>power to interpret laws and make discretionary decisions on the fate of assemblies significantly problematize</w:t>
      </w:r>
      <w:proofErr w:type="gramEnd"/>
      <w:r w:rsidR="00B21219" w:rsidRPr="00AE0EE2">
        <w:rPr>
          <w:rFonts w:ascii="Garamond" w:hAnsi="Garamond" w:cs="Times New Roman"/>
          <w:sz w:val="23"/>
          <w:szCs w:val="23"/>
          <w:lang w:val="en-US"/>
        </w:rPr>
        <w:t xml:space="preserve"> the exercise of the right to assemble in Turkey.</w:t>
      </w:r>
    </w:p>
    <w:p w14:paraId="6C978EAD" w14:textId="77777777" w:rsidR="0009422F" w:rsidRPr="00AE0EE2" w:rsidRDefault="00B21219" w:rsidP="0009422F">
      <w:pPr>
        <w:pStyle w:val="ListParagraph"/>
        <w:numPr>
          <w:ilvl w:val="0"/>
          <w:numId w:val="2"/>
        </w:numPr>
        <w:rPr>
          <w:rFonts w:ascii="Garamond" w:hAnsi="Garamond" w:cs="Times New Roman"/>
          <w:b/>
          <w:sz w:val="23"/>
          <w:szCs w:val="23"/>
          <w:lang w:val="en-US"/>
        </w:rPr>
      </w:pPr>
      <w:r w:rsidRPr="00AE0EE2">
        <w:rPr>
          <w:rFonts w:ascii="Garamond" w:hAnsi="Garamond" w:cs="Times New Roman"/>
          <w:b/>
          <w:sz w:val="23"/>
          <w:szCs w:val="23"/>
          <w:lang w:val="en-US"/>
        </w:rPr>
        <w:t>The use of excessive force by security forces is too common</w:t>
      </w:r>
    </w:p>
    <w:p w14:paraId="0D497A36" w14:textId="77777777" w:rsidR="00B21219" w:rsidRPr="00AE0EE2" w:rsidRDefault="00596648" w:rsidP="00AE0EE2">
      <w:pPr>
        <w:rPr>
          <w:rFonts w:ascii="Garamond" w:hAnsi="Garamond" w:cs="Times New Roman"/>
          <w:sz w:val="23"/>
          <w:szCs w:val="23"/>
          <w:lang w:val="en-US"/>
        </w:rPr>
      </w:pPr>
      <w:r w:rsidRPr="00AE0EE2">
        <w:rPr>
          <w:rFonts w:ascii="Garamond" w:hAnsi="Garamond" w:cs="Times New Roman"/>
          <w:sz w:val="23"/>
          <w:szCs w:val="23"/>
          <w:lang w:val="en-US"/>
        </w:rPr>
        <w:t xml:space="preserve">Although international standards dictate that even in violent assemblies, the individuals perpetrating the violence should be targeted by the security forces for the preservation of the peace within the assembly. Therefore, in police interventions to assemblies, the burden of proof to demonstrate the need to intervene with the particular individual rests with the State. However, the overwhelming trend was the indiscriminate use of dispersive tools, such as tear gas and pressurized water, on protesters. </w:t>
      </w:r>
      <w:r w:rsidR="00BC6040" w:rsidRPr="00AE0EE2">
        <w:rPr>
          <w:rFonts w:ascii="Garamond" w:hAnsi="Garamond" w:cs="Times New Roman"/>
          <w:sz w:val="23"/>
          <w:szCs w:val="23"/>
          <w:lang w:val="en-US"/>
        </w:rPr>
        <w:t>Given the recent collective memory on protesters losing their eyes, and sometimes their lives, with targeted gas canisters by the police, this factor creates an especially strong chilling effect on the right to assemble in Turkey.</w:t>
      </w:r>
    </w:p>
    <w:p w14:paraId="56E22ABB" w14:textId="77777777" w:rsidR="00596648" w:rsidRPr="00AE0EE2" w:rsidRDefault="00596648" w:rsidP="00AE0EE2">
      <w:pPr>
        <w:rPr>
          <w:rFonts w:ascii="Garamond" w:hAnsi="Garamond" w:cs="Times New Roman"/>
          <w:sz w:val="23"/>
          <w:szCs w:val="23"/>
          <w:lang w:val="en-US"/>
        </w:rPr>
      </w:pPr>
      <w:r w:rsidRPr="00AE0EE2">
        <w:rPr>
          <w:rFonts w:ascii="Garamond" w:hAnsi="Garamond" w:cs="Times New Roman"/>
          <w:sz w:val="23"/>
          <w:szCs w:val="23"/>
          <w:lang w:val="en-US"/>
        </w:rPr>
        <w:t xml:space="preserve">An important </w:t>
      </w:r>
      <w:proofErr w:type="spellStart"/>
      <w:r w:rsidRPr="00AE0EE2">
        <w:rPr>
          <w:rFonts w:ascii="Garamond" w:hAnsi="Garamond" w:cs="Times New Roman"/>
          <w:sz w:val="23"/>
          <w:szCs w:val="23"/>
          <w:lang w:val="en-US"/>
        </w:rPr>
        <w:t>EC</w:t>
      </w:r>
      <w:r w:rsidR="0056610C">
        <w:rPr>
          <w:rFonts w:ascii="Garamond" w:hAnsi="Garamond" w:cs="Times New Roman"/>
          <w:sz w:val="23"/>
          <w:szCs w:val="23"/>
          <w:lang w:val="en-US"/>
        </w:rPr>
        <w:t>t</w:t>
      </w:r>
      <w:r w:rsidRPr="00AE0EE2">
        <w:rPr>
          <w:rFonts w:ascii="Garamond" w:hAnsi="Garamond" w:cs="Times New Roman"/>
          <w:sz w:val="23"/>
          <w:szCs w:val="23"/>
          <w:lang w:val="en-US"/>
        </w:rPr>
        <w:t>HR</w:t>
      </w:r>
      <w:proofErr w:type="spellEnd"/>
      <w:r w:rsidRPr="00AE0EE2">
        <w:rPr>
          <w:rFonts w:ascii="Garamond" w:hAnsi="Garamond" w:cs="Times New Roman"/>
          <w:sz w:val="23"/>
          <w:szCs w:val="23"/>
          <w:lang w:val="en-US"/>
        </w:rPr>
        <w:t xml:space="preserve"> judgment on this issue is </w:t>
      </w:r>
      <w:proofErr w:type="spellStart"/>
      <w:r w:rsidRPr="00AE0EE2">
        <w:rPr>
          <w:rFonts w:ascii="Garamond" w:hAnsi="Garamond" w:cs="Times New Roman"/>
          <w:sz w:val="23"/>
          <w:szCs w:val="23"/>
          <w:lang w:val="en-US"/>
        </w:rPr>
        <w:t>Oya</w:t>
      </w:r>
      <w:proofErr w:type="spellEnd"/>
      <w:r w:rsidRPr="00AE0EE2">
        <w:rPr>
          <w:rFonts w:ascii="Garamond" w:hAnsi="Garamond" w:cs="Times New Roman"/>
          <w:sz w:val="23"/>
          <w:szCs w:val="23"/>
          <w:lang w:val="en-US"/>
        </w:rPr>
        <w:t xml:space="preserve"> Ataman v. Turkey (2006), which has since created its own group of judgments against Turkey, based on the excessive use of force by the police on protesters. </w:t>
      </w:r>
      <w:r w:rsidR="0019575D" w:rsidRPr="00AE0EE2">
        <w:rPr>
          <w:rFonts w:ascii="Garamond" w:hAnsi="Garamond" w:cs="Times New Roman"/>
          <w:sz w:val="23"/>
          <w:szCs w:val="23"/>
          <w:lang w:val="en-US"/>
        </w:rPr>
        <w:t>In these groups of cases, “the ECtHR found that the amount of suffering and pain inflicted on the protesters amounted to torture, inhuman and degrading treatment in violation of Article 3. Instances including use of tear gas on an apprehended protester, hitting those gathering on the head with truncheons and pulling the hair of a protester over a stair step, and facial injuries were deemed to violate Article 3.”</w:t>
      </w:r>
      <w:r w:rsidR="0019575D" w:rsidRPr="00AE0EE2">
        <w:rPr>
          <w:rStyle w:val="FootnoteReference"/>
          <w:rFonts w:ascii="Garamond" w:hAnsi="Garamond" w:cs="Times New Roman"/>
          <w:sz w:val="23"/>
          <w:szCs w:val="23"/>
          <w:lang w:val="en-US"/>
        </w:rPr>
        <w:footnoteReference w:id="7"/>
      </w:r>
      <w:r w:rsidR="0019575D" w:rsidRPr="00AE0EE2">
        <w:rPr>
          <w:rFonts w:ascii="Garamond" w:hAnsi="Garamond" w:cs="Times New Roman"/>
          <w:sz w:val="23"/>
          <w:szCs w:val="23"/>
          <w:lang w:val="en-US"/>
        </w:rPr>
        <w:t xml:space="preserve"> In the monitoring period, in nearly half of the assemblies intervened by the police, there was use of excessive force. </w:t>
      </w:r>
      <w:proofErr w:type="gramStart"/>
      <w:r w:rsidR="00BC6040" w:rsidRPr="00AE0EE2">
        <w:rPr>
          <w:rFonts w:ascii="Garamond" w:hAnsi="Garamond" w:cs="Times New Roman"/>
          <w:sz w:val="23"/>
          <w:szCs w:val="23"/>
          <w:lang w:val="en-US"/>
        </w:rPr>
        <w:t>A video recording of an assembly that occurred in November shows a police chief orderings his officers to not be afraid of firing with real bullets.</w:t>
      </w:r>
      <w:proofErr w:type="gramEnd"/>
      <w:r w:rsidR="00BC6040" w:rsidRPr="00AE0EE2">
        <w:rPr>
          <w:rFonts w:ascii="Garamond" w:hAnsi="Garamond" w:cs="Times New Roman"/>
          <w:sz w:val="23"/>
          <w:szCs w:val="23"/>
          <w:lang w:val="en-US"/>
        </w:rPr>
        <w:t xml:space="preserve"> Such evidence shows the extent to which these interventions are discretionary and out of proportion.</w:t>
      </w:r>
    </w:p>
    <w:p w14:paraId="3D8E1BDB" w14:textId="77777777" w:rsidR="00B21219" w:rsidRDefault="0019575D" w:rsidP="00AE0EE2">
      <w:pPr>
        <w:rPr>
          <w:rFonts w:ascii="Garamond" w:hAnsi="Garamond" w:cs="Times New Roman"/>
          <w:sz w:val="23"/>
          <w:szCs w:val="23"/>
          <w:lang w:val="en-US"/>
        </w:rPr>
      </w:pPr>
      <w:r w:rsidRPr="00AE0EE2">
        <w:rPr>
          <w:rFonts w:ascii="Garamond" w:hAnsi="Garamond" w:cs="Times New Roman"/>
          <w:sz w:val="23"/>
          <w:szCs w:val="23"/>
          <w:lang w:val="en-US"/>
        </w:rPr>
        <w:t xml:space="preserve">According to the international standards of the positive obligations of the state, the communication between the organizers of the assembly and the security forces to ensure the safety of the protesters. In the data collected by AMER, however, organizers were often charged for assemblies where ‘illegal’ banners were opened and ‘illegal’ slogans were shouted. Additionally, in the 2016 Pride Parade for instance, the organizers attempting to communicate with the police to allow for some of the event to take place were detained. Police officers and dispersive equipment are transferred to the venue of the assembly in preparation, point their cameras and </w:t>
      </w:r>
      <w:r w:rsidR="00BC6040" w:rsidRPr="00AE0EE2">
        <w:rPr>
          <w:rFonts w:ascii="Garamond" w:hAnsi="Garamond" w:cs="Times New Roman"/>
          <w:sz w:val="23"/>
          <w:szCs w:val="23"/>
          <w:lang w:val="en-US"/>
        </w:rPr>
        <w:t>weapons of tear gas are directed at the protesters, and all available means of intervention are used on peaceful protests. The use of force has been found to be a systemic problem by international authorities and the European Court; this monitoring report confirms that finding.</w:t>
      </w:r>
    </w:p>
    <w:p w14:paraId="0FCF64D2" w14:textId="77777777" w:rsidR="00D41F65" w:rsidRPr="00AE0EE2" w:rsidRDefault="00D41F65" w:rsidP="00AE0EE2">
      <w:pPr>
        <w:rPr>
          <w:rFonts w:ascii="Garamond" w:hAnsi="Garamond" w:cs="Times New Roman"/>
          <w:sz w:val="23"/>
          <w:szCs w:val="23"/>
          <w:lang w:val="en-US"/>
        </w:rPr>
      </w:pPr>
    </w:p>
    <w:p w14:paraId="225B91F9" w14:textId="77777777" w:rsidR="00BC6040" w:rsidRPr="00AE0EE2" w:rsidRDefault="0009422F" w:rsidP="00BC6040">
      <w:pPr>
        <w:pStyle w:val="ListParagraph"/>
        <w:numPr>
          <w:ilvl w:val="0"/>
          <w:numId w:val="2"/>
        </w:numPr>
        <w:rPr>
          <w:rFonts w:ascii="Garamond" w:hAnsi="Garamond" w:cs="Times New Roman"/>
          <w:b/>
          <w:sz w:val="23"/>
          <w:szCs w:val="23"/>
          <w:lang w:val="en-US"/>
        </w:rPr>
      </w:pPr>
      <w:r w:rsidRPr="00AE0EE2">
        <w:rPr>
          <w:rFonts w:ascii="Garamond" w:hAnsi="Garamond" w:cs="Times New Roman"/>
          <w:b/>
          <w:sz w:val="23"/>
          <w:szCs w:val="23"/>
          <w:lang w:val="en-US"/>
        </w:rPr>
        <w:lastRenderedPageBreak/>
        <w:t xml:space="preserve">Charges directed against those detained in assemblies are </w:t>
      </w:r>
      <w:r w:rsidR="000B2FC4" w:rsidRPr="00AE0EE2">
        <w:rPr>
          <w:rFonts w:ascii="Garamond" w:hAnsi="Garamond" w:cs="Times New Roman"/>
          <w:b/>
          <w:sz w:val="23"/>
          <w:szCs w:val="23"/>
          <w:lang w:val="en-US"/>
        </w:rPr>
        <w:t xml:space="preserve">exaggerated </w:t>
      </w:r>
    </w:p>
    <w:p w14:paraId="2DFBD473" w14:textId="77777777" w:rsidR="00BC6040" w:rsidRPr="00AE0EE2" w:rsidRDefault="00BC6040" w:rsidP="00AE0EE2">
      <w:pPr>
        <w:rPr>
          <w:rFonts w:ascii="Garamond" w:hAnsi="Garamond" w:cs="Times New Roman"/>
          <w:sz w:val="23"/>
          <w:szCs w:val="23"/>
          <w:lang w:val="en-US"/>
        </w:rPr>
      </w:pPr>
      <w:r w:rsidRPr="00AE0EE2">
        <w:rPr>
          <w:rFonts w:ascii="Garamond" w:hAnsi="Garamond" w:cs="Times New Roman"/>
          <w:sz w:val="23"/>
          <w:szCs w:val="23"/>
          <w:lang w:val="en-US"/>
        </w:rPr>
        <w:t xml:space="preserve">The ECtHR rules that the prosecution of </w:t>
      </w:r>
      <w:r w:rsidR="002403EF" w:rsidRPr="00AE0EE2">
        <w:rPr>
          <w:rFonts w:ascii="Garamond" w:hAnsi="Garamond" w:cs="Times New Roman"/>
          <w:sz w:val="23"/>
          <w:szCs w:val="23"/>
          <w:lang w:val="en-US"/>
        </w:rPr>
        <w:t xml:space="preserve">peaceful protesters is a violation of the right to assembly. Although data gathering on this issue is quite difficult, the volume of </w:t>
      </w:r>
      <w:proofErr w:type="spellStart"/>
      <w:r w:rsidR="002403EF" w:rsidRPr="00AE0EE2">
        <w:rPr>
          <w:rFonts w:ascii="Garamond" w:hAnsi="Garamond" w:cs="Times New Roman"/>
          <w:sz w:val="23"/>
          <w:szCs w:val="23"/>
          <w:lang w:val="en-US"/>
        </w:rPr>
        <w:t>EC</w:t>
      </w:r>
      <w:r w:rsidR="0056610C">
        <w:rPr>
          <w:rFonts w:ascii="Garamond" w:hAnsi="Garamond" w:cs="Times New Roman"/>
          <w:sz w:val="23"/>
          <w:szCs w:val="23"/>
          <w:lang w:val="en-US"/>
        </w:rPr>
        <w:t>t</w:t>
      </w:r>
      <w:r w:rsidR="002403EF" w:rsidRPr="00AE0EE2">
        <w:rPr>
          <w:rFonts w:ascii="Garamond" w:hAnsi="Garamond" w:cs="Times New Roman"/>
          <w:sz w:val="23"/>
          <w:szCs w:val="23"/>
          <w:lang w:val="en-US"/>
        </w:rPr>
        <w:t>HR</w:t>
      </w:r>
      <w:proofErr w:type="spellEnd"/>
      <w:r w:rsidR="002403EF" w:rsidRPr="00AE0EE2">
        <w:rPr>
          <w:rFonts w:ascii="Garamond" w:hAnsi="Garamond" w:cs="Times New Roman"/>
          <w:sz w:val="23"/>
          <w:szCs w:val="23"/>
          <w:lang w:val="en-US"/>
        </w:rPr>
        <w:t xml:space="preserve"> cases on this claim and the Ministry of Justice statistics offer a grim picture. The number of people against whom legal procedural action was started, and the number of those charged with the violation of Law Number 2911 have increased significantly since 2011. One reason for this trend is the legislative background. The law has extensive punitive measures for noncompliance with the broad restrictions on assemblies. For instance, assemblies are banned in places other than the routes announced by the Governorate at the beginning of the year. Therefore, participating in an assembly peacefully in any place other than the designated route could lead to prison sentences of up to 2 years. </w:t>
      </w:r>
    </w:p>
    <w:p w14:paraId="31121532" w14:textId="77777777" w:rsidR="00BC6040" w:rsidRPr="00AE0EE2" w:rsidRDefault="00E922E2" w:rsidP="00AE0EE2">
      <w:pPr>
        <w:rPr>
          <w:rFonts w:ascii="Garamond" w:hAnsi="Garamond" w:cs="Times New Roman"/>
          <w:sz w:val="23"/>
          <w:szCs w:val="23"/>
          <w:lang w:val="en-US"/>
        </w:rPr>
      </w:pPr>
      <w:r w:rsidRPr="00AE0EE2">
        <w:rPr>
          <w:rFonts w:ascii="Garamond" w:hAnsi="Garamond" w:cs="Times New Roman"/>
          <w:sz w:val="23"/>
          <w:szCs w:val="23"/>
          <w:lang w:val="en-US"/>
        </w:rPr>
        <w:t xml:space="preserve">Other criminal charges are also commonly directed at protesters, such as laws related to terrorism and laws against ‘resisting civil servants’. Reprisals against protesters in courts has become frequent, another addition to the chilling effect on assemblies. The most recent </w:t>
      </w:r>
      <w:proofErr w:type="spellStart"/>
      <w:r w:rsidRPr="00AE0EE2">
        <w:rPr>
          <w:rFonts w:ascii="Garamond" w:hAnsi="Garamond" w:cs="Times New Roman"/>
          <w:sz w:val="23"/>
          <w:szCs w:val="23"/>
          <w:lang w:val="en-US"/>
        </w:rPr>
        <w:t>EC</w:t>
      </w:r>
      <w:r w:rsidR="0056610C">
        <w:rPr>
          <w:rFonts w:ascii="Garamond" w:hAnsi="Garamond" w:cs="Times New Roman"/>
          <w:sz w:val="23"/>
          <w:szCs w:val="23"/>
          <w:lang w:val="en-US"/>
        </w:rPr>
        <w:t>t</w:t>
      </w:r>
      <w:r w:rsidRPr="00AE0EE2">
        <w:rPr>
          <w:rFonts w:ascii="Garamond" w:hAnsi="Garamond" w:cs="Times New Roman"/>
          <w:sz w:val="23"/>
          <w:szCs w:val="23"/>
          <w:lang w:val="en-US"/>
        </w:rPr>
        <w:t>HR</w:t>
      </w:r>
      <w:proofErr w:type="spellEnd"/>
      <w:r w:rsidRPr="00AE0EE2">
        <w:rPr>
          <w:rFonts w:ascii="Garamond" w:hAnsi="Garamond" w:cs="Times New Roman"/>
          <w:sz w:val="23"/>
          <w:szCs w:val="23"/>
          <w:lang w:val="en-US"/>
        </w:rPr>
        <w:t xml:space="preserve"> decision on the issue demonstrates this trend. In </w:t>
      </w:r>
      <w:proofErr w:type="spellStart"/>
      <w:r w:rsidRPr="00AE0EE2">
        <w:rPr>
          <w:rFonts w:ascii="Garamond" w:hAnsi="Garamond" w:cs="Times New Roman"/>
          <w:sz w:val="23"/>
          <w:szCs w:val="23"/>
          <w:lang w:val="en-US"/>
        </w:rPr>
        <w:t>Gülcü</w:t>
      </w:r>
      <w:proofErr w:type="spellEnd"/>
      <w:r w:rsidRPr="00AE0EE2">
        <w:rPr>
          <w:rFonts w:ascii="Garamond" w:hAnsi="Garamond" w:cs="Times New Roman"/>
          <w:sz w:val="23"/>
          <w:szCs w:val="23"/>
          <w:lang w:val="en-US"/>
        </w:rPr>
        <w:t xml:space="preserve"> v. Turkey, a minor was </w:t>
      </w:r>
      <w:r w:rsidR="00957145" w:rsidRPr="00AE0EE2">
        <w:rPr>
          <w:rFonts w:ascii="Garamond" w:hAnsi="Garamond" w:cs="Times New Roman"/>
          <w:sz w:val="23"/>
          <w:szCs w:val="23"/>
          <w:lang w:val="en-US"/>
        </w:rPr>
        <w:t xml:space="preserve">detained for two years and convicted of being a member of a terrorist organization after he attended a demonstration supposedly called by a group recognized as a terrorist organization by the state and threw rocks at the police. Other charges directed at him were supporting a terrorist organization and resisting the police. </w:t>
      </w:r>
      <w:proofErr w:type="spellStart"/>
      <w:r w:rsidR="00957145" w:rsidRPr="00AE0EE2">
        <w:rPr>
          <w:rFonts w:ascii="Garamond" w:hAnsi="Garamond" w:cs="Times New Roman"/>
          <w:sz w:val="23"/>
          <w:szCs w:val="23"/>
          <w:lang w:val="en-US"/>
        </w:rPr>
        <w:t>EC</w:t>
      </w:r>
      <w:r w:rsidR="0056610C">
        <w:rPr>
          <w:rFonts w:ascii="Garamond" w:hAnsi="Garamond" w:cs="Times New Roman"/>
          <w:sz w:val="23"/>
          <w:szCs w:val="23"/>
          <w:lang w:val="en-US"/>
        </w:rPr>
        <w:t>t</w:t>
      </w:r>
      <w:r w:rsidR="00957145" w:rsidRPr="00AE0EE2">
        <w:rPr>
          <w:rFonts w:ascii="Garamond" w:hAnsi="Garamond" w:cs="Times New Roman"/>
          <w:sz w:val="23"/>
          <w:szCs w:val="23"/>
          <w:lang w:val="en-US"/>
        </w:rPr>
        <w:t>HR</w:t>
      </w:r>
      <w:proofErr w:type="spellEnd"/>
      <w:r w:rsidR="00957145" w:rsidRPr="00AE0EE2">
        <w:rPr>
          <w:rFonts w:ascii="Garamond" w:hAnsi="Garamond" w:cs="Times New Roman"/>
          <w:sz w:val="23"/>
          <w:szCs w:val="23"/>
          <w:lang w:val="en-US"/>
        </w:rPr>
        <w:t xml:space="preserve"> overturned his judgment. </w:t>
      </w:r>
      <w:r w:rsidR="001F0700" w:rsidRPr="00AE0EE2">
        <w:rPr>
          <w:rFonts w:ascii="Garamond" w:hAnsi="Garamond" w:cs="Times New Roman"/>
          <w:sz w:val="23"/>
          <w:szCs w:val="23"/>
          <w:lang w:val="en-US"/>
        </w:rPr>
        <w:t>These techniques transform into a systematic problem in which the individual taking part in protests deemed ‘illegal’ by the state authorities risk being labeled as criminals and are given aggravated sentences that don’t fit the crime.</w:t>
      </w:r>
    </w:p>
    <w:p w14:paraId="1DC3FBB4" w14:textId="77777777" w:rsidR="000B2FC4" w:rsidRPr="00AE0EE2" w:rsidRDefault="000B2FC4" w:rsidP="0009422F">
      <w:pPr>
        <w:pStyle w:val="ListParagraph"/>
        <w:numPr>
          <w:ilvl w:val="0"/>
          <w:numId w:val="2"/>
        </w:numPr>
        <w:rPr>
          <w:rFonts w:ascii="Garamond" w:hAnsi="Garamond" w:cs="Times New Roman"/>
          <w:b/>
          <w:sz w:val="23"/>
          <w:szCs w:val="23"/>
          <w:lang w:val="en-US"/>
        </w:rPr>
      </w:pPr>
      <w:r w:rsidRPr="00AE0EE2">
        <w:rPr>
          <w:rFonts w:ascii="Garamond" w:hAnsi="Garamond" w:cs="Times New Roman"/>
          <w:b/>
          <w:sz w:val="23"/>
          <w:szCs w:val="23"/>
          <w:lang w:val="en-US"/>
        </w:rPr>
        <w:t>There is discriminatory treatment in how public authorities and security forces recognize the right to peaceful assembly.</w:t>
      </w:r>
    </w:p>
    <w:p w14:paraId="029BE862" w14:textId="77777777" w:rsidR="001F0700" w:rsidRPr="00AE0EE2" w:rsidRDefault="001F0700" w:rsidP="00AE0EE2">
      <w:pPr>
        <w:rPr>
          <w:rFonts w:ascii="Garamond" w:hAnsi="Garamond" w:cs="Times New Roman"/>
          <w:sz w:val="23"/>
          <w:szCs w:val="23"/>
          <w:lang w:val="en-US"/>
        </w:rPr>
      </w:pPr>
      <w:r w:rsidRPr="00AE0EE2">
        <w:rPr>
          <w:rFonts w:ascii="Garamond" w:hAnsi="Garamond" w:cs="Times New Roman"/>
          <w:sz w:val="23"/>
          <w:szCs w:val="23"/>
          <w:lang w:val="en-US"/>
        </w:rPr>
        <w:t>In the monitoring process, discriminatory treatment was observed against groups who hold opposition views and dissenting positions. Pro-government rallies and assemblies organized by public authorities had heavy security measures, and yet no interventions. The space and time restrictions were also only applied inconsistently as well. Following the coup attempt, rallies were held in all restricted areas, starting at midnight, while the Law on Assemblies bans assemblies after sunset. This discriminatory application of the law is also apparent from other charges directed at protesters. For instance, the charge of ‘insulting the president’ is commonly used in detaining protesters, suggesting that law enforcement is attuned to the dissenting nature of the protest. Given how important freedom of assembly is to pluralist democracies as a means of collective self-expression, the stifling of this right is not only a violation of international standards, it is also an assault to the democratic values in Turkey.</w:t>
      </w:r>
    </w:p>
    <w:p w14:paraId="322EAFB9" w14:textId="77777777" w:rsidR="00BC6040" w:rsidRPr="00AE0EE2" w:rsidRDefault="00BC6040" w:rsidP="00BC6040">
      <w:pPr>
        <w:pStyle w:val="ListParagraph"/>
        <w:rPr>
          <w:rFonts w:ascii="Garamond" w:hAnsi="Garamond" w:cs="Times New Roman"/>
          <w:sz w:val="23"/>
          <w:szCs w:val="23"/>
          <w:lang w:val="en-US"/>
        </w:rPr>
      </w:pPr>
    </w:p>
    <w:p w14:paraId="441827EC" w14:textId="77777777" w:rsidR="00A342DF" w:rsidRPr="00AE0EE2" w:rsidRDefault="00A342DF">
      <w:pPr>
        <w:rPr>
          <w:rFonts w:ascii="Garamond" w:hAnsi="Garamond" w:cs="Times New Roman"/>
          <w:sz w:val="23"/>
          <w:szCs w:val="23"/>
          <w:lang w:val="en-US"/>
        </w:rPr>
      </w:pPr>
    </w:p>
    <w:sectPr w:rsidR="00A342DF" w:rsidRPr="00AE0EE2" w:rsidSect="00D41F65">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8C2B0" w14:textId="77777777" w:rsidR="001C0DC9" w:rsidRDefault="001C0DC9" w:rsidP="00AA573B">
      <w:pPr>
        <w:spacing w:after="0" w:line="240" w:lineRule="auto"/>
      </w:pPr>
      <w:r>
        <w:separator/>
      </w:r>
    </w:p>
  </w:endnote>
  <w:endnote w:type="continuationSeparator" w:id="0">
    <w:p w14:paraId="07D2F7F6" w14:textId="77777777" w:rsidR="001C0DC9" w:rsidRDefault="001C0DC9" w:rsidP="00AA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5C85" w14:textId="77777777" w:rsidR="001C0DC9" w:rsidRDefault="001C0DC9" w:rsidP="00D4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8921BA" w14:textId="77777777" w:rsidR="001C0DC9" w:rsidRDefault="001C0D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E472D" w14:textId="77777777" w:rsidR="001C0DC9" w:rsidRDefault="001C0DC9" w:rsidP="00D4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EB2">
      <w:rPr>
        <w:rStyle w:val="PageNumber"/>
        <w:noProof/>
      </w:rPr>
      <w:t>2</w:t>
    </w:r>
    <w:r>
      <w:rPr>
        <w:rStyle w:val="PageNumber"/>
      </w:rPr>
      <w:fldChar w:fldCharType="end"/>
    </w:r>
  </w:p>
  <w:p w14:paraId="743D6E7F" w14:textId="77777777" w:rsidR="001C0DC9" w:rsidRDefault="001C0D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79DBA" w14:textId="77777777" w:rsidR="001C0DC9" w:rsidRDefault="001C0DC9" w:rsidP="00AA573B">
      <w:pPr>
        <w:spacing w:after="0" w:line="240" w:lineRule="auto"/>
      </w:pPr>
      <w:r>
        <w:separator/>
      </w:r>
    </w:p>
  </w:footnote>
  <w:footnote w:type="continuationSeparator" w:id="0">
    <w:p w14:paraId="295C25E1" w14:textId="77777777" w:rsidR="001C0DC9" w:rsidRDefault="001C0DC9" w:rsidP="00AA573B">
      <w:pPr>
        <w:spacing w:after="0" w:line="240" w:lineRule="auto"/>
      </w:pPr>
      <w:r>
        <w:continuationSeparator/>
      </w:r>
    </w:p>
  </w:footnote>
  <w:footnote w:id="1">
    <w:p w14:paraId="0373DA1B" w14:textId="77777777" w:rsidR="001C0DC9" w:rsidRPr="0056610C" w:rsidRDefault="001C0DC9">
      <w:pPr>
        <w:pStyle w:val="FootnoteText"/>
        <w:rPr>
          <w:rFonts w:ascii="Garamond" w:hAnsi="Garamond"/>
        </w:rPr>
      </w:pPr>
      <w:r w:rsidRPr="0056610C">
        <w:rPr>
          <w:rStyle w:val="FootnoteReference"/>
          <w:rFonts w:ascii="Garamond" w:hAnsi="Garamond"/>
        </w:rPr>
        <w:footnoteRef/>
      </w:r>
      <w:r w:rsidRPr="0056610C">
        <w:rPr>
          <w:rFonts w:ascii="Garamond" w:hAnsi="Garamond"/>
        </w:rPr>
        <w:t xml:space="preserve"> Rakı is an </w:t>
      </w:r>
      <w:proofErr w:type="spellStart"/>
      <w:r w:rsidRPr="0056610C">
        <w:rPr>
          <w:rFonts w:ascii="Garamond" w:hAnsi="Garamond"/>
        </w:rPr>
        <w:t>anise-flavored</w:t>
      </w:r>
      <w:proofErr w:type="spellEnd"/>
      <w:r w:rsidRPr="0056610C">
        <w:rPr>
          <w:rFonts w:ascii="Garamond" w:hAnsi="Garamond"/>
        </w:rPr>
        <w:t xml:space="preserve"> </w:t>
      </w:r>
      <w:proofErr w:type="spellStart"/>
      <w:r w:rsidRPr="0056610C">
        <w:rPr>
          <w:rFonts w:ascii="Garamond" w:hAnsi="Garamond"/>
        </w:rPr>
        <w:t>alcoholic</w:t>
      </w:r>
      <w:proofErr w:type="spellEnd"/>
      <w:r w:rsidRPr="0056610C">
        <w:rPr>
          <w:rFonts w:ascii="Garamond" w:hAnsi="Garamond"/>
        </w:rPr>
        <w:t xml:space="preserve"> </w:t>
      </w:r>
      <w:proofErr w:type="spellStart"/>
      <w:r w:rsidRPr="0056610C">
        <w:rPr>
          <w:rFonts w:ascii="Garamond" w:hAnsi="Garamond"/>
        </w:rPr>
        <w:t>beverage</w:t>
      </w:r>
      <w:proofErr w:type="spellEnd"/>
      <w:r w:rsidRPr="0056610C">
        <w:rPr>
          <w:rFonts w:ascii="Garamond" w:hAnsi="Garamond"/>
        </w:rPr>
        <w:t xml:space="preserve"> popular in </w:t>
      </w:r>
      <w:proofErr w:type="spellStart"/>
      <w:r w:rsidRPr="0056610C">
        <w:rPr>
          <w:rFonts w:ascii="Garamond" w:hAnsi="Garamond"/>
        </w:rPr>
        <w:t>Turkey</w:t>
      </w:r>
      <w:proofErr w:type="spellEnd"/>
      <w:r w:rsidRPr="0056610C">
        <w:rPr>
          <w:rFonts w:ascii="Garamond" w:hAnsi="Garamond"/>
        </w:rPr>
        <w:t xml:space="preserve">. </w:t>
      </w:r>
      <w:proofErr w:type="spellStart"/>
      <w:r w:rsidRPr="0056610C">
        <w:rPr>
          <w:rFonts w:ascii="Garamond" w:hAnsi="Garamond"/>
        </w:rPr>
        <w:t>It</w:t>
      </w:r>
      <w:proofErr w:type="spellEnd"/>
      <w:r w:rsidRPr="0056610C">
        <w:rPr>
          <w:rFonts w:ascii="Garamond" w:hAnsi="Garamond"/>
        </w:rPr>
        <w:t xml:space="preserve"> is </w:t>
      </w:r>
      <w:proofErr w:type="spellStart"/>
      <w:r w:rsidRPr="0056610C">
        <w:rPr>
          <w:rFonts w:ascii="Garamond" w:hAnsi="Garamond"/>
        </w:rPr>
        <w:t>considered</w:t>
      </w:r>
      <w:proofErr w:type="spellEnd"/>
      <w:r w:rsidRPr="0056610C">
        <w:rPr>
          <w:rFonts w:ascii="Garamond" w:hAnsi="Garamond"/>
        </w:rPr>
        <w:t xml:space="preserve"> </w:t>
      </w:r>
      <w:proofErr w:type="spellStart"/>
      <w:r w:rsidRPr="0056610C">
        <w:rPr>
          <w:rFonts w:ascii="Garamond" w:hAnsi="Garamond"/>
        </w:rPr>
        <w:t>to</w:t>
      </w:r>
      <w:proofErr w:type="spellEnd"/>
      <w:r w:rsidRPr="0056610C">
        <w:rPr>
          <w:rFonts w:ascii="Garamond" w:hAnsi="Garamond"/>
        </w:rPr>
        <w:t xml:space="preserve"> be a </w:t>
      </w:r>
      <w:proofErr w:type="spellStart"/>
      <w:r w:rsidRPr="0056610C">
        <w:rPr>
          <w:rFonts w:ascii="Garamond" w:hAnsi="Garamond"/>
        </w:rPr>
        <w:t>national</w:t>
      </w:r>
      <w:proofErr w:type="spellEnd"/>
      <w:r w:rsidRPr="0056610C">
        <w:rPr>
          <w:rFonts w:ascii="Garamond" w:hAnsi="Garamond"/>
        </w:rPr>
        <w:t xml:space="preserve"> </w:t>
      </w:r>
      <w:proofErr w:type="spellStart"/>
      <w:r w:rsidRPr="0056610C">
        <w:rPr>
          <w:rFonts w:ascii="Garamond" w:hAnsi="Garamond"/>
        </w:rPr>
        <w:t>drink</w:t>
      </w:r>
      <w:proofErr w:type="spellEnd"/>
      <w:r w:rsidRPr="0056610C">
        <w:rPr>
          <w:rFonts w:ascii="Garamond" w:hAnsi="Garamond"/>
        </w:rPr>
        <w:t xml:space="preserve"> of </w:t>
      </w:r>
      <w:proofErr w:type="spellStart"/>
      <w:r w:rsidRPr="0056610C">
        <w:rPr>
          <w:rFonts w:ascii="Garamond" w:hAnsi="Garamond"/>
        </w:rPr>
        <w:t>Turkey</w:t>
      </w:r>
      <w:proofErr w:type="spellEnd"/>
      <w:r w:rsidRPr="0056610C">
        <w:rPr>
          <w:rFonts w:ascii="Garamond" w:hAnsi="Garamond"/>
        </w:rPr>
        <w:t>.</w:t>
      </w:r>
    </w:p>
  </w:footnote>
  <w:footnote w:id="2">
    <w:p w14:paraId="0E82EB5E" w14:textId="77777777" w:rsidR="001C0DC9" w:rsidRPr="0056610C" w:rsidRDefault="001C0DC9">
      <w:pPr>
        <w:pStyle w:val="FootnoteText"/>
        <w:rPr>
          <w:rFonts w:ascii="Garamond" w:hAnsi="Garamond"/>
        </w:rPr>
      </w:pPr>
      <w:r w:rsidRPr="0056610C">
        <w:rPr>
          <w:rStyle w:val="FootnoteReference"/>
          <w:rFonts w:ascii="Garamond" w:hAnsi="Garamond"/>
        </w:rPr>
        <w:footnoteRef/>
      </w:r>
      <w:r w:rsidRPr="0056610C">
        <w:rPr>
          <w:rFonts w:ascii="Garamond" w:hAnsi="Garamond"/>
        </w:rPr>
        <w:t xml:space="preserve"> </w:t>
      </w:r>
      <w:proofErr w:type="spellStart"/>
      <w:r w:rsidRPr="0056610C">
        <w:rPr>
          <w:rFonts w:ascii="Garamond" w:hAnsi="Garamond"/>
        </w:rPr>
        <w:t>Shalgam</w:t>
      </w:r>
      <w:proofErr w:type="spellEnd"/>
      <w:r w:rsidRPr="0056610C">
        <w:rPr>
          <w:rFonts w:ascii="Garamond" w:hAnsi="Garamond"/>
        </w:rPr>
        <w:t xml:space="preserve"> is a </w:t>
      </w:r>
      <w:proofErr w:type="spellStart"/>
      <w:r w:rsidRPr="0056610C">
        <w:rPr>
          <w:rFonts w:ascii="Garamond" w:hAnsi="Garamond"/>
        </w:rPr>
        <w:t>turnip-based</w:t>
      </w:r>
      <w:proofErr w:type="spellEnd"/>
      <w:r w:rsidRPr="0056610C">
        <w:rPr>
          <w:rFonts w:ascii="Garamond" w:hAnsi="Garamond"/>
        </w:rPr>
        <w:t xml:space="preserve"> </w:t>
      </w:r>
      <w:proofErr w:type="spellStart"/>
      <w:r w:rsidRPr="0056610C">
        <w:rPr>
          <w:rFonts w:ascii="Garamond" w:hAnsi="Garamond"/>
        </w:rPr>
        <w:t>drink</w:t>
      </w:r>
      <w:proofErr w:type="spellEnd"/>
      <w:r w:rsidRPr="0056610C">
        <w:rPr>
          <w:rFonts w:ascii="Garamond" w:hAnsi="Garamond"/>
        </w:rPr>
        <w:t xml:space="preserve"> popular in Adana </w:t>
      </w:r>
      <w:proofErr w:type="spellStart"/>
      <w:r w:rsidRPr="0056610C">
        <w:rPr>
          <w:rFonts w:ascii="Garamond" w:hAnsi="Garamond"/>
        </w:rPr>
        <w:t>and</w:t>
      </w:r>
      <w:proofErr w:type="spellEnd"/>
      <w:r w:rsidRPr="0056610C">
        <w:rPr>
          <w:rFonts w:ascii="Garamond" w:hAnsi="Garamond"/>
        </w:rPr>
        <w:t xml:space="preserve"> Mersin, </w:t>
      </w:r>
      <w:proofErr w:type="spellStart"/>
      <w:r w:rsidRPr="0056610C">
        <w:rPr>
          <w:rFonts w:ascii="Garamond" w:hAnsi="Garamond"/>
        </w:rPr>
        <w:t>often</w:t>
      </w:r>
      <w:proofErr w:type="spellEnd"/>
      <w:r w:rsidRPr="0056610C">
        <w:rPr>
          <w:rFonts w:ascii="Garamond" w:hAnsi="Garamond"/>
        </w:rPr>
        <w:t xml:space="preserve"> </w:t>
      </w:r>
      <w:proofErr w:type="spellStart"/>
      <w:r w:rsidRPr="0056610C">
        <w:rPr>
          <w:rFonts w:ascii="Garamond" w:hAnsi="Garamond"/>
        </w:rPr>
        <w:t>served</w:t>
      </w:r>
      <w:proofErr w:type="spellEnd"/>
      <w:r w:rsidRPr="0056610C">
        <w:rPr>
          <w:rFonts w:ascii="Garamond" w:hAnsi="Garamond"/>
        </w:rPr>
        <w:t xml:space="preserve"> </w:t>
      </w:r>
      <w:proofErr w:type="spellStart"/>
      <w:r w:rsidRPr="0056610C">
        <w:rPr>
          <w:rFonts w:ascii="Garamond" w:hAnsi="Garamond"/>
        </w:rPr>
        <w:t>alongside</w:t>
      </w:r>
      <w:proofErr w:type="spellEnd"/>
      <w:r w:rsidRPr="0056610C">
        <w:rPr>
          <w:rFonts w:ascii="Garamond" w:hAnsi="Garamond"/>
        </w:rPr>
        <w:t xml:space="preserve"> Rakı.</w:t>
      </w:r>
    </w:p>
  </w:footnote>
  <w:footnote w:id="3">
    <w:p w14:paraId="4F8C3968" w14:textId="77777777" w:rsidR="001C0DC9" w:rsidRDefault="001C0DC9">
      <w:pPr>
        <w:pStyle w:val="FootnoteText"/>
      </w:pPr>
      <w:r>
        <w:rPr>
          <w:rStyle w:val="FootnoteReference"/>
        </w:rPr>
        <w:footnoteRef/>
      </w:r>
      <w:r>
        <w:t xml:space="preserve"> </w:t>
      </w:r>
      <w:r w:rsidRPr="0056610C">
        <w:rPr>
          <w:rFonts w:ascii="Garamond" w:hAnsi="Garamond"/>
          <w:lang w:val="en-US"/>
        </w:rPr>
        <w:t>The peak in 2013 could be explained by the Gezi Park protests, which took place from May 2013 – August 2014 and was spread to all provinces in Turkey.</w:t>
      </w:r>
    </w:p>
  </w:footnote>
  <w:footnote w:id="4">
    <w:p w14:paraId="518336D4" w14:textId="77777777" w:rsidR="001C0DC9" w:rsidRPr="00D41F65" w:rsidRDefault="001C0DC9">
      <w:pPr>
        <w:pStyle w:val="FootnoteText"/>
        <w:rPr>
          <w:rFonts w:ascii="Garamond" w:hAnsi="Garamond"/>
        </w:rPr>
      </w:pPr>
      <w:r>
        <w:rPr>
          <w:rStyle w:val="FootnoteReference"/>
        </w:rPr>
        <w:footnoteRef/>
      </w:r>
      <w:r>
        <w:t xml:space="preserve"> </w:t>
      </w:r>
      <w:r w:rsidRPr="00D41F65">
        <w:rPr>
          <w:rFonts w:ascii="Garamond" w:hAnsi="Garamond"/>
        </w:rPr>
        <w:t xml:space="preserve">EU </w:t>
      </w:r>
      <w:proofErr w:type="spellStart"/>
      <w:r w:rsidRPr="00D41F65">
        <w:rPr>
          <w:rFonts w:ascii="Garamond" w:hAnsi="Garamond"/>
        </w:rPr>
        <w:t>Turkey</w:t>
      </w:r>
      <w:proofErr w:type="spellEnd"/>
      <w:r w:rsidRPr="00D41F65">
        <w:rPr>
          <w:rFonts w:ascii="Garamond" w:hAnsi="Garamond"/>
        </w:rPr>
        <w:t xml:space="preserve"> </w:t>
      </w:r>
      <w:proofErr w:type="spellStart"/>
      <w:r w:rsidRPr="00D41F65">
        <w:rPr>
          <w:rFonts w:ascii="Garamond" w:hAnsi="Garamond"/>
        </w:rPr>
        <w:t>Progress</w:t>
      </w:r>
      <w:proofErr w:type="spellEnd"/>
      <w:r w:rsidRPr="00D41F65">
        <w:rPr>
          <w:rFonts w:ascii="Garamond" w:hAnsi="Garamond"/>
        </w:rPr>
        <w:t xml:space="preserve"> Report 2013 (53-54), 2014 (53-54), 2015 (65)</w:t>
      </w:r>
    </w:p>
  </w:footnote>
  <w:footnote w:id="5">
    <w:p w14:paraId="31DB3A02" w14:textId="77777777" w:rsidR="001C0DC9" w:rsidRDefault="001C0DC9">
      <w:pPr>
        <w:pStyle w:val="FootnoteText"/>
      </w:pPr>
      <w:r w:rsidRPr="00D41F65">
        <w:rPr>
          <w:rStyle w:val="FootnoteReference"/>
          <w:rFonts w:ascii="Garamond" w:hAnsi="Garamond"/>
        </w:rPr>
        <w:footnoteRef/>
      </w:r>
      <w:r w:rsidRPr="00D41F65">
        <w:rPr>
          <w:rFonts w:ascii="Garamond" w:hAnsi="Garamond"/>
        </w:rPr>
        <w:t xml:space="preserve"> </w:t>
      </w:r>
      <w:r w:rsidRPr="00D41F65">
        <w:rPr>
          <w:rFonts w:ascii="Garamond" w:hAnsi="Garamond"/>
        </w:rPr>
        <w:t xml:space="preserve">A/HRC/29/15/Add.1 Report of </w:t>
      </w:r>
      <w:proofErr w:type="spellStart"/>
      <w:r w:rsidRPr="00D41F65">
        <w:rPr>
          <w:rFonts w:ascii="Garamond" w:hAnsi="Garamond"/>
        </w:rPr>
        <w:t>the</w:t>
      </w:r>
      <w:proofErr w:type="spellEnd"/>
      <w:r w:rsidRPr="00D41F65">
        <w:rPr>
          <w:rFonts w:ascii="Garamond" w:hAnsi="Garamond"/>
        </w:rPr>
        <w:t xml:space="preserve"> </w:t>
      </w:r>
      <w:proofErr w:type="spellStart"/>
      <w:r w:rsidRPr="00D41F65">
        <w:rPr>
          <w:rFonts w:ascii="Garamond" w:hAnsi="Garamond"/>
        </w:rPr>
        <w:t>Working</w:t>
      </w:r>
      <w:proofErr w:type="spellEnd"/>
      <w:r w:rsidRPr="00D41F65">
        <w:rPr>
          <w:rFonts w:ascii="Garamond" w:hAnsi="Garamond"/>
        </w:rPr>
        <w:t xml:space="preserve"> </w:t>
      </w:r>
      <w:proofErr w:type="spellStart"/>
      <w:r w:rsidRPr="00D41F65">
        <w:rPr>
          <w:rFonts w:ascii="Garamond" w:hAnsi="Garamond"/>
        </w:rPr>
        <w:t>Group</w:t>
      </w:r>
      <w:proofErr w:type="spellEnd"/>
      <w:r w:rsidRPr="00D41F65">
        <w:rPr>
          <w:rFonts w:ascii="Garamond" w:hAnsi="Garamond"/>
        </w:rPr>
        <w:t xml:space="preserve"> on </w:t>
      </w:r>
      <w:proofErr w:type="spellStart"/>
      <w:r w:rsidRPr="00D41F65">
        <w:rPr>
          <w:rFonts w:ascii="Garamond" w:hAnsi="Garamond"/>
        </w:rPr>
        <w:t>the</w:t>
      </w:r>
      <w:proofErr w:type="spellEnd"/>
      <w:r w:rsidRPr="00D41F65">
        <w:rPr>
          <w:rFonts w:ascii="Garamond" w:hAnsi="Garamond"/>
        </w:rPr>
        <w:t xml:space="preserve"> Universal </w:t>
      </w:r>
      <w:proofErr w:type="spellStart"/>
      <w:r w:rsidRPr="00D41F65">
        <w:rPr>
          <w:rFonts w:ascii="Garamond" w:hAnsi="Garamond"/>
        </w:rPr>
        <w:t>Periodic</w:t>
      </w:r>
      <w:proofErr w:type="spellEnd"/>
      <w:r w:rsidRPr="00D41F65">
        <w:rPr>
          <w:rFonts w:ascii="Garamond" w:hAnsi="Garamond"/>
        </w:rPr>
        <w:t xml:space="preserve"> </w:t>
      </w:r>
      <w:proofErr w:type="spellStart"/>
      <w:r w:rsidRPr="00D41F65">
        <w:rPr>
          <w:rFonts w:ascii="Garamond" w:hAnsi="Garamond"/>
        </w:rPr>
        <w:t>Review</w:t>
      </w:r>
      <w:proofErr w:type="spellEnd"/>
      <w:r w:rsidRPr="00D41F65">
        <w:rPr>
          <w:rFonts w:ascii="Garamond" w:hAnsi="Garamond"/>
        </w:rPr>
        <w:t xml:space="preserve">, </w:t>
      </w:r>
      <w:proofErr w:type="spellStart"/>
      <w:r w:rsidRPr="00D41F65">
        <w:rPr>
          <w:rFonts w:ascii="Garamond" w:hAnsi="Garamond"/>
        </w:rPr>
        <w:t>Turkey</w:t>
      </w:r>
      <w:proofErr w:type="spellEnd"/>
      <w:r w:rsidRPr="00D41F65">
        <w:rPr>
          <w:rFonts w:ascii="Garamond" w:hAnsi="Garamond"/>
        </w:rPr>
        <w:t>, 150.23</w:t>
      </w:r>
    </w:p>
  </w:footnote>
  <w:footnote w:id="6">
    <w:p w14:paraId="424D3425" w14:textId="77777777" w:rsidR="001C0DC9" w:rsidRPr="00D41F65" w:rsidRDefault="001C0DC9">
      <w:pPr>
        <w:pStyle w:val="FootnoteText"/>
        <w:rPr>
          <w:rFonts w:ascii="Garamond" w:hAnsi="Garamond"/>
        </w:rPr>
      </w:pPr>
      <w:r w:rsidRPr="00D41F65">
        <w:rPr>
          <w:rStyle w:val="FootnoteReference"/>
          <w:rFonts w:ascii="Garamond" w:hAnsi="Garamond"/>
        </w:rPr>
        <w:footnoteRef/>
      </w:r>
      <w:r w:rsidRPr="00D41F65">
        <w:rPr>
          <w:rFonts w:ascii="Garamond" w:hAnsi="Garamond"/>
        </w:rPr>
        <w:t xml:space="preserve"> EU </w:t>
      </w:r>
      <w:proofErr w:type="spellStart"/>
      <w:r w:rsidRPr="00D41F65">
        <w:rPr>
          <w:rFonts w:ascii="Garamond" w:hAnsi="Garamond"/>
        </w:rPr>
        <w:t>Turkey</w:t>
      </w:r>
      <w:proofErr w:type="spellEnd"/>
      <w:r w:rsidRPr="00D41F65">
        <w:rPr>
          <w:rFonts w:ascii="Garamond" w:hAnsi="Garamond"/>
        </w:rPr>
        <w:t xml:space="preserve"> </w:t>
      </w:r>
      <w:proofErr w:type="spellStart"/>
      <w:r w:rsidRPr="00D41F65">
        <w:rPr>
          <w:rFonts w:ascii="Garamond" w:hAnsi="Garamond"/>
        </w:rPr>
        <w:t>Progress</w:t>
      </w:r>
      <w:proofErr w:type="spellEnd"/>
      <w:r w:rsidRPr="00D41F65">
        <w:rPr>
          <w:rFonts w:ascii="Garamond" w:hAnsi="Garamond"/>
        </w:rPr>
        <w:t xml:space="preserve"> Report 2014, pg.53</w:t>
      </w:r>
    </w:p>
  </w:footnote>
  <w:footnote w:id="7">
    <w:p w14:paraId="26D64BFB" w14:textId="77777777" w:rsidR="001C0DC9" w:rsidRPr="00D41F65" w:rsidRDefault="001C0DC9">
      <w:pPr>
        <w:pStyle w:val="FootnoteText"/>
        <w:rPr>
          <w:rFonts w:ascii="Garamond" w:hAnsi="Garamond"/>
        </w:rPr>
      </w:pPr>
      <w:r w:rsidRPr="00D41F65">
        <w:rPr>
          <w:rStyle w:val="FootnoteReference"/>
          <w:rFonts w:ascii="Garamond" w:hAnsi="Garamond"/>
        </w:rPr>
        <w:footnoteRef/>
      </w:r>
      <w:r w:rsidRPr="00D41F65">
        <w:rPr>
          <w:rFonts w:ascii="Garamond" w:hAnsi="Garamond"/>
        </w:rPr>
        <w:t xml:space="preserve"> Çalı, Ba</w:t>
      </w:r>
      <w:r w:rsidRPr="00D41F65">
        <w:rPr>
          <w:rFonts w:ascii="Times New Roman" w:hAnsi="Times New Roman" w:cs="Times New Roman"/>
        </w:rPr>
        <w:t>ş</w:t>
      </w:r>
      <w:r w:rsidRPr="00D41F65">
        <w:rPr>
          <w:rFonts w:ascii="Garamond" w:hAnsi="Garamond"/>
        </w:rPr>
        <w:t xml:space="preserve">ak. THE EXECUTION OF THE ATAMAN GROUP CASES (Application No. </w:t>
      </w:r>
      <w:proofErr w:type="spellStart"/>
      <w:r w:rsidRPr="00D41F65">
        <w:rPr>
          <w:rFonts w:ascii="Garamond" w:hAnsi="Garamond"/>
        </w:rPr>
        <w:t>and</w:t>
      </w:r>
      <w:proofErr w:type="spellEnd"/>
      <w:r w:rsidRPr="00D41F65">
        <w:rPr>
          <w:rFonts w:ascii="Garamond" w:hAnsi="Garamond"/>
        </w:rPr>
        <w:t xml:space="preserve"> </w:t>
      </w:r>
      <w:proofErr w:type="spellStart"/>
      <w:r w:rsidRPr="00D41F65">
        <w:rPr>
          <w:rFonts w:ascii="Garamond" w:hAnsi="Garamond"/>
        </w:rPr>
        <w:t>Judgment</w:t>
      </w:r>
      <w:proofErr w:type="spellEnd"/>
      <w:r w:rsidRPr="00D41F65">
        <w:rPr>
          <w:rFonts w:ascii="Garamond" w:hAnsi="Garamond"/>
        </w:rPr>
        <w:t xml:space="preserve"> </w:t>
      </w:r>
      <w:proofErr w:type="spellStart"/>
      <w:r w:rsidRPr="00D41F65">
        <w:rPr>
          <w:rFonts w:ascii="Garamond" w:hAnsi="Garamond"/>
        </w:rPr>
        <w:t>Date</w:t>
      </w:r>
      <w:proofErr w:type="spellEnd"/>
      <w:r w:rsidRPr="00D41F65">
        <w:rPr>
          <w:rFonts w:ascii="Garamond" w:hAnsi="Garamond"/>
        </w:rPr>
        <w:t xml:space="preserve">: 74552/01, 5 </w:t>
      </w:r>
      <w:proofErr w:type="spellStart"/>
      <w:r w:rsidRPr="00D41F65">
        <w:rPr>
          <w:rFonts w:ascii="Garamond" w:hAnsi="Garamond"/>
        </w:rPr>
        <w:t>December</w:t>
      </w:r>
      <w:proofErr w:type="spellEnd"/>
      <w:r w:rsidRPr="00D41F65">
        <w:rPr>
          <w:rFonts w:ascii="Garamond" w:hAnsi="Garamond"/>
        </w:rPr>
        <w:t xml:space="preserve"> 2006) MONITORING REPORT (</w:t>
      </w:r>
      <w:proofErr w:type="spellStart"/>
      <w:r w:rsidRPr="00D41F65">
        <w:rPr>
          <w:rFonts w:ascii="Garamond" w:hAnsi="Garamond"/>
        </w:rPr>
        <w:t>December</w:t>
      </w:r>
      <w:proofErr w:type="spellEnd"/>
      <w:r w:rsidRPr="00D41F65">
        <w:rPr>
          <w:rFonts w:ascii="Garamond" w:hAnsi="Garamond"/>
        </w:rPr>
        <w:t xml:space="preserve">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1BE5"/>
    <w:multiLevelType w:val="hybridMultilevel"/>
    <w:tmpl w:val="B1E4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E3E6933"/>
    <w:multiLevelType w:val="multilevel"/>
    <w:tmpl w:val="364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A4"/>
    <w:rsid w:val="00076270"/>
    <w:rsid w:val="0009422F"/>
    <w:rsid w:val="000B257C"/>
    <w:rsid w:val="000B2FC4"/>
    <w:rsid w:val="000B6B43"/>
    <w:rsid w:val="00102D7C"/>
    <w:rsid w:val="00192A7D"/>
    <w:rsid w:val="0019575D"/>
    <w:rsid w:val="001C0DC9"/>
    <w:rsid w:val="001F0700"/>
    <w:rsid w:val="00207B2E"/>
    <w:rsid w:val="002403EF"/>
    <w:rsid w:val="00240CE2"/>
    <w:rsid w:val="00252107"/>
    <w:rsid w:val="00255D67"/>
    <w:rsid w:val="00313B30"/>
    <w:rsid w:val="00375042"/>
    <w:rsid w:val="004142AA"/>
    <w:rsid w:val="004213A3"/>
    <w:rsid w:val="004275A6"/>
    <w:rsid w:val="00431039"/>
    <w:rsid w:val="004754C2"/>
    <w:rsid w:val="004768C9"/>
    <w:rsid w:val="0056610C"/>
    <w:rsid w:val="00596648"/>
    <w:rsid w:val="005A74C7"/>
    <w:rsid w:val="005D3D72"/>
    <w:rsid w:val="005E294E"/>
    <w:rsid w:val="00604156"/>
    <w:rsid w:val="00716D64"/>
    <w:rsid w:val="00747472"/>
    <w:rsid w:val="00781AF6"/>
    <w:rsid w:val="00802A78"/>
    <w:rsid w:val="00807FA2"/>
    <w:rsid w:val="008B47F9"/>
    <w:rsid w:val="008B513C"/>
    <w:rsid w:val="00904307"/>
    <w:rsid w:val="00957145"/>
    <w:rsid w:val="00973056"/>
    <w:rsid w:val="00990EB2"/>
    <w:rsid w:val="00A01AA1"/>
    <w:rsid w:val="00A04393"/>
    <w:rsid w:val="00A05759"/>
    <w:rsid w:val="00A23B24"/>
    <w:rsid w:val="00A342DF"/>
    <w:rsid w:val="00A57AF2"/>
    <w:rsid w:val="00A92489"/>
    <w:rsid w:val="00AA573B"/>
    <w:rsid w:val="00AE09EA"/>
    <w:rsid w:val="00AE0EE2"/>
    <w:rsid w:val="00B16182"/>
    <w:rsid w:val="00B1676C"/>
    <w:rsid w:val="00B21219"/>
    <w:rsid w:val="00B26CDF"/>
    <w:rsid w:val="00B46522"/>
    <w:rsid w:val="00B76270"/>
    <w:rsid w:val="00B81E8F"/>
    <w:rsid w:val="00BB1704"/>
    <w:rsid w:val="00BC6040"/>
    <w:rsid w:val="00BF362E"/>
    <w:rsid w:val="00C16AA4"/>
    <w:rsid w:val="00C32746"/>
    <w:rsid w:val="00D41F65"/>
    <w:rsid w:val="00DA08DD"/>
    <w:rsid w:val="00DA55FA"/>
    <w:rsid w:val="00E219C2"/>
    <w:rsid w:val="00E83755"/>
    <w:rsid w:val="00E849A9"/>
    <w:rsid w:val="00E922E2"/>
    <w:rsid w:val="00E924D2"/>
    <w:rsid w:val="00EB205B"/>
    <w:rsid w:val="00ED0BAE"/>
    <w:rsid w:val="00ED27ED"/>
    <w:rsid w:val="00F139DC"/>
    <w:rsid w:val="00F24A68"/>
    <w:rsid w:val="00F31862"/>
    <w:rsid w:val="00F53C38"/>
    <w:rsid w:val="00F85984"/>
    <w:rsid w:val="00FA73B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5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73B"/>
    <w:rPr>
      <w:sz w:val="20"/>
      <w:szCs w:val="20"/>
    </w:rPr>
  </w:style>
  <w:style w:type="character" w:styleId="FootnoteReference">
    <w:name w:val="footnote reference"/>
    <w:basedOn w:val="DefaultParagraphFont"/>
    <w:uiPriority w:val="99"/>
    <w:semiHidden/>
    <w:unhideWhenUsed/>
    <w:rsid w:val="00AA573B"/>
    <w:rPr>
      <w:vertAlign w:val="superscript"/>
    </w:rPr>
  </w:style>
  <w:style w:type="paragraph" w:styleId="ListParagraph">
    <w:name w:val="List Paragraph"/>
    <w:basedOn w:val="Normal"/>
    <w:uiPriority w:val="34"/>
    <w:qFormat/>
    <w:rsid w:val="0009422F"/>
    <w:pPr>
      <w:ind w:left="720"/>
      <w:contextualSpacing/>
    </w:pPr>
  </w:style>
  <w:style w:type="paragraph" w:styleId="Footer">
    <w:name w:val="footer"/>
    <w:basedOn w:val="Normal"/>
    <w:link w:val="FooterChar"/>
    <w:unhideWhenUsed/>
    <w:rsid w:val="00DA55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55FA"/>
  </w:style>
  <w:style w:type="character" w:styleId="PageNumber">
    <w:name w:val="page number"/>
    <w:basedOn w:val="DefaultParagraphFont"/>
    <w:uiPriority w:val="99"/>
    <w:semiHidden/>
    <w:unhideWhenUsed/>
    <w:rsid w:val="00DA55FA"/>
  </w:style>
  <w:style w:type="paragraph" w:styleId="BalloonText">
    <w:name w:val="Balloon Text"/>
    <w:basedOn w:val="Normal"/>
    <w:link w:val="BalloonTextChar"/>
    <w:uiPriority w:val="99"/>
    <w:semiHidden/>
    <w:unhideWhenUsed/>
    <w:rsid w:val="00DA5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5FA"/>
    <w:rPr>
      <w:rFonts w:ascii="Lucida Grande" w:hAnsi="Lucida Grande" w:cs="Lucida Grande"/>
      <w:sz w:val="18"/>
      <w:szCs w:val="18"/>
    </w:rPr>
  </w:style>
  <w:style w:type="paragraph" w:styleId="Header">
    <w:name w:val="header"/>
    <w:basedOn w:val="Normal"/>
    <w:link w:val="HeaderChar"/>
    <w:uiPriority w:val="99"/>
    <w:unhideWhenUsed/>
    <w:rsid w:val="00D41F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F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5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73B"/>
    <w:rPr>
      <w:sz w:val="20"/>
      <w:szCs w:val="20"/>
    </w:rPr>
  </w:style>
  <w:style w:type="character" w:styleId="FootnoteReference">
    <w:name w:val="footnote reference"/>
    <w:basedOn w:val="DefaultParagraphFont"/>
    <w:uiPriority w:val="99"/>
    <w:semiHidden/>
    <w:unhideWhenUsed/>
    <w:rsid w:val="00AA573B"/>
    <w:rPr>
      <w:vertAlign w:val="superscript"/>
    </w:rPr>
  </w:style>
  <w:style w:type="paragraph" w:styleId="ListParagraph">
    <w:name w:val="List Paragraph"/>
    <w:basedOn w:val="Normal"/>
    <w:uiPriority w:val="34"/>
    <w:qFormat/>
    <w:rsid w:val="0009422F"/>
    <w:pPr>
      <w:ind w:left="720"/>
      <w:contextualSpacing/>
    </w:pPr>
  </w:style>
  <w:style w:type="paragraph" w:styleId="Footer">
    <w:name w:val="footer"/>
    <w:basedOn w:val="Normal"/>
    <w:link w:val="FooterChar"/>
    <w:unhideWhenUsed/>
    <w:rsid w:val="00DA55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55FA"/>
  </w:style>
  <w:style w:type="character" w:styleId="PageNumber">
    <w:name w:val="page number"/>
    <w:basedOn w:val="DefaultParagraphFont"/>
    <w:uiPriority w:val="99"/>
    <w:semiHidden/>
    <w:unhideWhenUsed/>
    <w:rsid w:val="00DA55FA"/>
  </w:style>
  <w:style w:type="paragraph" w:styleId="BalloonText">
    <w:name w:val="Balloon Text"/>
    <w:basedOn w:val="Normal"/>
    <w:link w:val="BalloonTextChar"/>
    <w:uiPriority w:val="99"/>
    <w:semiHidden/>
    <w:unhideWhenUsed/>
    <w:rsid w:val="00DA5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5FA"/>
    <w:rPr>
      <w:rFonts w:ascii="Lucida Grande" w:hAnsi="Lucida Grande" w:cs="Lucida Grande"/>
      <w:sz w:val="18"/>
      <w:szCs w:val="18"/>
    </w:rPr>
  </w:style>
  <w:style w:type="paragraph" w:styleId="Header">
    <w:name w:val="header"/>
    <w:basedOn w:val="Normal"/>
    <w:link w:val="HeaderChar"/>
    <w:uiPriority w:val="99"/>
    <w:unhideWhenUsed/>
    <w:rsid w:val="00D41F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1123">
      <w:bodyDiv w:val="1"/>
      <w:marLeft w:val="0"/>
      <w:marRight w:val="0"/>
      <w:marTop w:val="0"/>
      <w:marBottom w:val="0"/>
      <w:divBdr>
        <w:top w:val="none" w:sz="0" w:space="0" w:color="auto"/>
        <w:left w:val="none" w:sz="0" w:space="0" w:color="auto"/>
        <w:bottom w:val="none" w:sz="0" w:space="0" w:color="auto"/>
        <w:right w:val="none" w:sz="0" w:space="0" w:color="auto"/>
      </w:divBdr>
    </w:div>
    <w:div w:id="1005322774">
      <w:bodyDiv w:val="1"/>
      <w:marLeft w:val="0"/>
      <w:marRight w:val="0"/>
      <w:marTop w:val="0"/>
      <w:marBottom w:val="0"/>
      <w:divBdr>
        <w:top w:val="none" w:sz="0" w:space="0" w:color="auto"/>
        <w:left w:val="none" w:sz="0" w:space="0" w:color="auto"/>
        <w:bottom w:val="none" w:sz="0" w:space="0" w:color="auto"/>
        <w:right w:val="none" w:sz="0" w:space="0" w:color="auto"/>
      </w:divBdr>
    </w:div>
    <w:div w:id="19746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chart" Target="charts/chart9.xml"/><Relationship Id="rId19" Type="http://schemas.openxmlformats.org/officeDocument/2006/relationships/chart" Target="charts/chart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 Id="rId2" Type="http://schemas.microsoft.com/office/2011/relationships/chartStyle" Target="style3.xml"/><Relationship Id="rId3" Type="http://schemas.microsoft.com/office/2011/relationships/chartColorStyle" Target="colors3.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 Id="rId2" Type="http://schemas.microsoft.com/office/2011/relationships/chartStyle" Target="style1.xml"/><Relationship Id="rId3" Type="http://schemas.microsoft.com/office/2011/relationships/chartColorStyle" Target="colors1.xm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Provinces</a:t>
            </a:r>
            <a:r>
              <a:rPr lang="tr-TR" baseline="0"/>
              <a:t> and Counties where Assemblies were Banned</a:t>
            </a:r>
            <a:endParaRPr lang="tr-T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594698162729659"/>
          <c:y val="0.171712962962963"/>
          <c:w val="0.907665882578144"/>
          <c:h val="0.574477807541198"/>
        </c:manualLayout>
      </c:layout>
      <c:bar3DChart>
        <c:barDir val="col"/>
        <c:grouping val="standard"/>
        <c:varyColors val="1"/>
        <c:ser>
          <c:idx val="1"/>
          <c:order val="1"/>
          <c:tx>
            <c:strRef>
              <c:f>Sayfa1!$F$12</c:f>
            </c:strRef>
          </c:tx>
          <c:invertIfNegative val="0"/>
          <c:cat>
            <c:multiLvlStrRef>
              <c:f>Sayfa1!$E$13:$E$33</c:f>
            </c:multiLvlStrRef>
          </c:cat>
          <c:val>
            <c:numRef>
              <c:f>Sayfa1!$F$13:$F$33</c:f>
            </c:numRef>
          </c:val>
        </c:ser>
        <c:ser>
          <c:idx val="0"/>
          <c:order val="0"/>
          <c:tx>
            <c:strRef>
              <c:f>'[valilik genel yasaklar.xlsx]Sayfa1'!$F$12</c:f>
              <c:strCache>
                <c:ptCount val="1"/>
                <c:pt idx="0">
                  <c:v>Yasaklananİlİlçe</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Pt>
            <c:idx val="5"/>
            <c:invertIfNegative val="0"/>
            <c:bubble3D val="0"/>
            <c:spPr>
              <a:solidFill>
                <a:schemeClr val="accent6"/>
              </a:solidFill>
              <a:ln>
                <a:noFill/>
              </a:ln>
              <a:effectLst/>
              <a:sp3d/>
            </c:spPr>
          </c:dPt>
          <c:dPt>
            <c:idx val="6"/>
            <c:invertIfNegative val="0"/>
            <c:bubble3D val="0"/>
            <c:spPr>
              <a:solidFill>
                <a:schemeClr val="accent1">
                  <a:lumMod val="60000"/>
                </a:schemeClr>
              </a:solidFill>
              <a:ln>
                <a:noFill/>
              </a:ln>
              <a:effectLst/>
              <a:sp3d/>
            </c:spPr>
          </c:dPt>
          <c:dPt>
            <c:idx val="7"/>
            <c:invertIfNegative val="0"/>
            <c:bubble3D val="0"/>
            <c:spPr>
              <a:solidFill>
                <a:schemeClr val="accent2">
                  <a:lumMod val="60000"/>
                </a:schemeClr>
              </a:solidFill>
              <a:ln>
                <a:noFill/>
              </a:ln>
              <a:effectLst/>
              <a:sp3d/>
            </c:spPr>
          </c:dPt>
          <c:dPt>
            <c:idx val="8"/>
            <c:invertIfNegative val="0"/>
            <c:bubble3D val="0"/>
            <c:spPr>
              <a:solidFill>
                <a:schemeClr val="accent3">
                  <a:lumMod val="60000"/>
                </a:schemeClr>
              </a:solidFill>
              <a:ln>
                <a:noFill/>
              </a:ln>
              <a:effectLst/>
              <a:sp3d/>
            </c:spPr>
          </c:dPt>
          <c:dPt>
            <c:idx val="9"/>
            <c:invertIfNegative val="0"/>
            <c:bubble3D val="0"/>
            <c:spPr>
              <a:solidFill>
                <a:schemeClr val="accent4">
                  <a:lumMod val="60000"/>
                </a:schemeClr>
              </a:solidFill>
              <a:ln>
                <a:noFill/>
              </a:ln>
              <a:effectLst/>
              <a:sp3d/>
            </c:spPr>
          </c:dPt>
          <c:dPt>
            <c:idx val="10"/>
            <c:invertIfNegative val="0"/>
            <c:bubble3D val="0"/>
            <c:spPr>
              <a:solidFill>
                <a:schemeClr val="accent5">
                  <a:lumMod val="60000"/>
                </a:schemeClr>
              </a:solidFill>
              <a:ln>
                <a:noFill/>
              </a:ln>
              <a:effectLst/>
              <a:sp3d/>
            </c:spPr>
          </c:dPt>
          <c:dPt>
            <c:idx val="11"/>
            <c:invertIfNegative val="0"/>
            <c:bubble3D val="0"/>
            <c:spPr>
              <a:solidFill>
                <a:schemeClr val="accent6">
                  <a:lumMod val="60000"/>
                </a:schemeClr>
              </a:solidFill>
              <a:ln>
                <a:noFill/>
              </a:ln>
              <a:effectLst/>
              <a:sp3d/>
            </c:spPr>
          </c:dPt>
          <c:dPt>
            <c:idx val="12"/>
            <c:invertIfNegative val="0"/>
            <c:bubble3D val="0"/>
            <c:spPr>
              <a:solidFill>
                <a:schemeClr val="accent1">
                  <a:lumMod val="80000"/>
                  <a:lumOff val="20000"/>
                </a:schemeClr>
              </a:solidFill>
              <a:ln>
                <a:noFill/>
              </a:ln>
              <a:effectLst/>
              <a:sp3d/>
            </c:spPr>
          </c:dPt>
          <c:dPt>
            <c:idx val="13"/>
            <c:invertIfNegative val="0"/>
            <c:bubble3D val="0"/>
            <c:spPr>
              <a:solidFill>
                <a:schemeClr val="accent2">
                  <a:lumMod val="80000"/>
                  <a:lumOff val="20000"/>
                </a:schemeClr>
              </a:solidFill>
              <a:ln>
                <a:noFill/>
              </a:ln>
              <a:effectLst/>
              <a:sp3d/>
            </c:spPr>
          </c:dPt>
          <c:dPt>
            <c:idx val="14"/>
            <c:invertIfNegative val="0"/>
            <c:bubble3D val="0"/>
            <c:spPr>
              <a:solidFill>
                <a:schemeClr val="accent3">
                  <a:lumMod val="80000"/>
                  <a:lumOff val="20000"/>
                </a:schemeClr>
              </a:solidFill>
              <a:ln>
                <a:noFill/>
              </a:ln>
              <a:effectLst/>
              <a:sp3d/>
            </c:spPr>
          </c:dPt>
          <c:dPt>
            <c:idx val="15"/>
            <c:invertIfNegative val="0"/>
            <c:bubble3D val="0"/>
            <c:spPr>
              <a:solidFill>
                <a:schemeClr val="accent4">
                  <a:lumMod val="80000"/>
                  <a:lumOff val="20000"/>
                </a:schemeClr>
              </a:solidFill>
              <a:ln>
                <a:noFill/>
              </a:ln>
              <a:effectLst/>
              <a:sp3d/>
            </c:spPr>
          </c:dPt>
          <c:dPt>
            <c:idx val="16"/>
            <c:invertIfNegative val="0"/>
            <c:bubble3D val="0"/>
            <c:spPr>
              <a:solidFill>
                <a:schemeClr val="accent5">
                  <a:lumMod val="80000"/>
                  <a:lumOff val="20000"/>
                </a:schemeClr>
              </a:solidFill>
              <a:ln>
                <a:noFill/>
              </a:ln>
              <a:effectLst/>
              <a:sp3d/>
            </c:spPr>
          </c:dPt>
          <c:dPt>
            <c:idx val="17"/>
            <c:invertIfNegative val="0"/>
            <c:bubble3D val="0"/>
            <c:spPr>
              <a:solidFill>
                <a:schemeClr val="accent6">
                  <a:lumMod val="80000"/>
                  <a:lumOff val="20000"/>
                </a:schemeClr>
              </a:solidFill>
              <a:ln>
                <a:noFill/>
              </a:ln>
              <a:effectLst/>
              <a:sp3d/>
            </c:spPr>
          </c:dPt>
          <c:dPt>
            <c:idx val="18"/>
            <c:invertIfNegative val="0"/>
            <c:bubble3D val="0"/>
            <c:spPr>
              <a:solidFill>
                <a:schemeClr val="accent1">
                  <a:lumMod val="80000"/>
                </a:schemeClr>
              </a:solidFill>
              <a:ln>
                <a:noFill/>
              </a:ln>
              <a:effectLst/>
              <a:sp3d/>
            </c:spPr>
          </c:dPt>
          <c:dPt>
            <c:idx val="19"/>
            <c:invertIfNegative val="0"/>
            <c:bubble3D val="0"/>
            <c:spPr>
              <a:solidFill>
                <a:schemeClr val="accent2">
                  <a:lumMod val="80000"/>
                </a:schemeClr>
              </a:solidFill>
              <a:ln>
                <a:noFill/>
              </a:ln>
              <a:effectLst/>
              <a:sp3d/>
            </c:spPr>
          </c:dPt>
          <c:dPt>
            <c:idx val="20"/>
            <c:invertIfNegative val="0"/>
            <c:bubble3D val="0"/>
            <c:spPr>
              <a:solidFill>
                <a:schemeClr val="accent3">
                  <a:lumMod val="80000"/>
                </a:schemeClr>
              </a:solidFill>
              <a:ln>
                <a:noFill/>
              </a:ln>
              <a:effectLst/>
              <a:sp3d/>
            </c:spPr>
          </c:dPt>
          <c:dPt>
            <c:idx val="21"/>
            <c:invertIfNegative val="0"/>
            <c:bubble3D val="0"/>
            <c:spPr>
              <a:solidFill>
                <a:schemeClr val="accent4">
                  <a:lumMod val="8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'[valilik genel yasaklar.xlsx]Sayfa1'!$E$13:$E$34</c:f>
              <c:strCache>
                <c:ptCount val="22"/>
                <c:pt idx="0">
                  <c:v>Adıyaman</c:v>
                </c:pt>
                <c:pt idx="1">
                  <c:v>Ankara</c:v>
                </c:pt>
                <c:pt idx="2">
                  <c:v>Antalya</c:v>
                </c:pt>
                <c:pt idx="3">
                  <c:v>Artvin</c:v>
                </c:pt>
                <c:pt idx="4">
                  <c:v>Batman</c:v>
                </c:pt>
                <c:pt idx="5">
                  <c:v>Bingöl</c:v>
                </c:pt>
                <c:pt idx="6">
                  <c:v>Bitlis</c:v>
                </c:pt>
                <c:pt idx="7">
                  <c:v>Diyarbakır</c:v>
                </c:pt>
                <c:pt idx="8">
                  <c:v>Edirne</c:v>
                </c:pt>
                <c:pt idx="9">
                  <c:v>Gaziantep</c:v>
                </c:pt>
                <c:pt idx="10">
                  <c:v>Hakkari</c:v>
                </c:pt>
                <c:pt idx="11">
                  <c:v>Hatay</c:v>
                </c:pt>
                <c:pt idx="12">
                  <c:v>Kilis</c:v>
                </c:pt>
                <c:pt idx="13">
                  <c:v>Kocaeli</c:v>
                </c:pt>
                <c:pt idx="14">
                  <c:v>Mardin</c:v>
                </c:pt>
                <c:pt idx="15">
                  <c:v>İzmit</c:v>
                </c:pt>
                <c:pt idx="16">
                  <c:v>Silvan</c:v>
                </c:pt>
                <c:pt idx="17">
                  <c:v>Şanliurfa</c:v>
                </c:pt>
                <c:pt idx="18">
                  <c:v>Şırnak</c:v>
                </c:pt>
                <c:pt idx="19">
                  <c:v>Tokat</c:v>
                </c:pt>
                <c:pt idx="20">
                  <c:v>Van</c:v>
                </c:pt>
                <c:pt idx="21">
                  <c:v>Konya</c:v>
                </c:pt>
              </c:strCache>
            </c:strRef>
          </c:cat>
          <c:val>
            <c:numRef>
              <c:f>'[valilik genel yasaklar.xlsx]Sayfa1'!$F$13:$F$34</c:f>
              <c:numCache>
                <c:formatCode>###0</c:formatCode>
                <c:ptCount val="22"/>
                <c:pt idx="0">
                  <c:v>2.0</c:v>
                </c:pt>
                <c:pt idx="1">
                  <c:v>1.0</c:v>
                </c:pt>
                <c:pt idx="2">
                  <c:v>1.0</c:v>
                </c:pt>
                <c:pt idx="3">
                  <c:v>2.0</c:v>
                </c:pt>
                <c:pt idx="4">
                  <c:v>4.0</c:v>
                </c:pt>
                <c:pt idx="5">
                  <c:v>2.0</c:v>
                </c:pt>
                <c:pt idx="6">
                  <c:v>5.0</c:v>
                </c:pt>
                <c:pt idx="7">
                  <c:v>3.0</c:v>
                </c:pt>
                <c:pt idx="8">
                  <c:v>1.0</c:v>
                </c:pt>
                <c:pt idx="9">
                  <c:v>2.0</c:v>
                </c:pt>
                <c:pt idx="10">
                  <c:v>2.0</c:v>
                </c:pt>
                <c:pt idx="11">
                  <c:v>1.0</c:v>
                </c:pt>
                <c:pt idx="12">
                  <c:v>2.0</c:v>
                </c:pt>
                <c:pt idx="13">
                  <c:v>1.0</c:v>
                </c:pt>
                <c:pt idx="14">
                  <c:v>2.0</c:v>
                </c:pt>
                <c:pt idx="15">
                  <c:v>1.0</c:v>
                </c:pt>
                <c:pt idx="16">
                  <c:v>1.0</c:v>
                </c:pt>
                <c:pt idx="17">
                  <c:v>7.0</c:v>
                </c:pt>
                <c:pt idx="18">
                  <c:v>2.0</c:v>
                </c:pt>
                <c:pt idx="19">
                  <c:v>1.0</c:v>
                </c:pt>
                <c:pt idx="20">
                  <c:v>5.0</c:v>
                </c:pt>
                <c:pt idx="21">
                  <c:v>1.0</c:v>
                </c:pt>
              </c:numCache>
            </c:numRef>
          </c:val>
        </c:ser>
        <c:dLbls>
          <c:showLegendKey val="0"/>
          <c:showVal val="0"/>
          <c:showCatName val="0"/>
          <c:showSerName val="0"/>
          <c:showPercent val="0"/>
          <c:showBubbleSize val="0"/>
        </c:dLbls>
        <c:gapWidth val="150"/>
        <c:shape val="box"/>
        <c:axId val="2099194952"/>
        <c:axId val="2099198568"/>
        <c:axId val="2099202264"/>
      </c:bar3DChart>
      <c:catAx>
        <c:axId val="2099194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198568"/>
        <c:crosses val="autoZero"/>
        <c:auto val="1"/>
        <c:lblAlgn val="ctr"/>
        <c:lblOffset val="100"/>
        <c:noMultiLvlLbl val="0"/>
      </c:catAx>
      <c:valAx>
        <c:axId val="2099198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194952"/>
        <c:crosses val="autoZero"/>
        <c:crossBetween val="between"/>
      </c:valAx>
      <c:serAx>
        <c:axId val="2099202264"/>
        <c:scaling>
          <c:orientation val="minMax"/>
        </c:scaling>
        <c:delete val="1"/>
        <c:axPos val="b"/>
        <c:majorTickMark val="none"/>
        <c:minorTickMark val="none"/>
        <c:tickLblPos val="nextTo"/>
        <c:crossAx val="2099198568"/>
        <c:crosses val="autoZero"/>
      </c:serAx>
      <c:spPr>
        <a:solidFill>
          <a:schemeClr val="accent4">
            <a:lumMod val="20000"/>
            <a:lumOff val="80000"/>
          </a:schemeClr>
        </a:solid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NR OF SUSPECTS UNDER 2911</a:t>
            </a:r>
            <a:r>
              <a:rPr lang="tr-TR" baseline="0"/>
              <a:t> </a:t>
            </a:r>
          </a:p>
          <a:p>
            <a:pPr>
              <a:defRPr sz="1400" b="0" i="0" u="none" strike="noStrike" kern="1200" spc="0" baseline="0">
                <a:solidFill>
                  <a:schemeClr val="tx1">
                    <a:lumMod val="65000"/>
                    <a:lumOff val="35000"/>
                  </a:schemeClr>
                </a:solidFill>
                <a:latin typeface="+mn-lt"/>
                <a:ea typeface="+mn-ea"/>
                <a:cs typeface="+mn-cs"/>
              </a:defRPr>
            </a:pPr>
            <a:r>
              <a:rPr lang="tr-TR" baseline="0"/>
              <a:t>STATUS OF PROSECUTION</a:t>
            </a:r>
            <a:endParaRPr lang="tr-TR"/>
          </a:p>
        </c:rich>
      </c:tx>
      <c:layout/>
      <c:overlay val="0"/>
      <c:spPr>
        <a:noFill/>
        <a:ln>
          <a:noFill/>
        </a:ln>
        <a:effectLst/>
      </c:spPr>
    </c:title>
    <c:autoTitleDeleted val="0"/>
    <c:plotArea>
      <c:layout/>
      <c:lineChart>
        <c:grouping val="standard"/>
        <c:varyColors val="0"/>
        <c:ser>
          <c:idx val="0"/>
          <c:order val="0"/>
          <c:tx>
            <c:strRef>
              <c:f>'[ÇALIŞMA (1).xlsx]Sayfa1'!$B$34</c:f>
              <c:strCache>
                <c:ptCount val="1"/>
                <c:pt idx="0">
                  <c:v>DECISION NOT TO PROSECUTE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'[ÇALIŞMA (1).xlsx]Sayfa1'!$A$35:$A$39</c:f>
              <c:numCache>
                <c:formatCode>General</c:formatCode>
                <c:ptCount val="5"/>
                <c:pt idx="0">
                  <c:v>2011.0</c:v>
                </c:pt>
                <c:pt idx="1">
                  <c:v>2012.0</c:v>
                </c:pt>
                <c:pt idx="2">
                  <c:v>2013.0</c:v>
                </c:pt>
                <c:pt idx="3">
                  <c:v>2014.0</c:v>
                </c:pt>
                <c:pt idx="4">
                  <c:v>2015.0</c:v>
                </c:pt>
              </c:numCache>
            </c:numRef>
          </c:cat>
          <c:val>
            <c:numRef>
              <c:f>'[ÇALIŞMA (1).xlsx]Sayfa1'!$B$35:$B$39</c:f>
              <c:numCache>
                <c:formatCode>General</c:formatCode>
                <c:ptCount val="5"/>
                <c:pt idx="0">
                  <c:v>4599.0</c:v>
                </c:pt>
                <c:pt idx="1">
                  <c:v>5487.0</c:v>
                </c:pt>
                <c:pt idx="2">
                  <c:v>7492.0</c:v>
                </c:pt>
                <c:pt idx="3">
                  <c:v>8971.0</c:v>
                </c:pt>
                <c:pt idx="4">
                  <c:v>7948.0</c:v>
                </c:pt>
              </c:numCache>
            </c:numRef>
          </c:val>
          <c:smooth val="0"/>
        </c:ser>
        <c:ser>
          <c:idx val="1"/>
          <c:order val="1"/>
          <c:tx>
            <c:strRef>
              <c:f>'[ÇALIŞMA (1).xlsx]Sayfa1'!$C$34</c:f>
              <c:strCache>
                <c:ptCount val="1"/>
                <c:pt idx="0">
                  <c:v>PROSECUTION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'[ÇALIŞMA (1).xlsx]Sayfa1'!$A$35:$A$39</c:f>
              <c:numCache>
                <c:formatCode>General</c:formatCode>
                <c:ptCount val="5"/>
                <c:pt idx="0">
                  <c:v>2011.0</c:v>
                </c:pt>
                <c:pt idx="1">
                  <c:v>2012.0</c:v>
                </c:pt>
                <c:pt idx="2">
                  <c:v>2013.0</c:v>
                </c:pt>
                <c:pt idx="3">
                  <c:v>2014.0</c:v>
                </c:pt>
                <c:pt idx="4">
                  <c:v>2015.0</c:v>
                </c:pt>
              </c:numCache>
            </c:numRef>
          </c:cat>
          <c:val>
            <c:numRef>
              <c:f>'[ÇALIŞMA (1).xlsx]Sayfa1'!$C$35:$C$39</c:f>
              <c:numCache>
                <c:formatCode>General</c:formatCode>
                <c:ptCount val="5"/>
                <c:pt idx="0">
                  <c:v>9717.0</c:v>
                </c:pt>
                <c:pt idx="1">
                  <c:v>9196.0</c:v>
                </c:pt>
                <c:pt idx="2">
                  <c:v>15896.0</c:v>
                </c:pt>
                <c:pt idx="3">
                  <c:v>13370.0</c:v>
                </c:pt>
                <c:pt idx="4">
                  <c:v>19274.0</c:v>
                </c:pt>
              </c:numCache>
            </c:numRef>
          </c:val>
          <c:smooth val="0"/>
        </c:ser>
        <c:dLbls>
          <c:showLegendKey val="0"/>
          <c:showVal val="0"/>
          <c:showCatName val="0"/>
          <c:showSerName val="0"/>
          <c:showPercent val="0"/>
          <c:showBubbleSize val="0"/>
        </c:dLbls>
        <c:marker val="1"/>
        <c:smooth val="0"/>
        <c:axId val="2098470712"/>
        <c:axId val="2098467128"/>
      </c:lineChart>
      <c:catAx>
        <c:axId val="209847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467128"/>
        <c:crosses val="autoZero"/>
        <c:auto val="1"/>
        <c:lblAlgn val="ctr"/>
        <c:lblOffset val="100"/>
        <c:noMultiLvlLbl val="0"/>
      </c:catAx>
      <c:valAx>
        <c:axId val="2098467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470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Distribution of the Duration of Bans</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Sayfa1!$F$54</c:f>
              <c:strCache>
                <c:ptCount val="1"/>
                <c:pt idx="0">
                  <c:v>YasağınSüresi</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Pt>
            <c:idx val="5"/>
            <c:invertIfNegative val="0"/>
            <c:bubble3D val="0"/>
            <c:spPr>
              <a:solidFill>
                <a:schemeClr val="accent6"/>
              </a:solidFill>
              <a:ln>
                <a:noFill/>
              </a:ln>
              <a:effectLst/>
              <a:sp3d/>
            </c:spPr>
          </c:dPt>
          <c:dPt>
            <c:idx val="6"/>
            <c:invertIfNegative val="0"/>
            <c:bubble3D val="0"/>
            <c:spPr>
              <a:solidFill>
                <a:schemeClr val="accent1">
                  <a:lumMod val="60000"/>
                </a:schemeClr>
              </a:solidFill>
              <a:ln>
                <a:noFill/>
              </a:ln>
              <a:effectLst/>
              <a:sp3d/>
            </c:spPr>
          </c:dPt>
          <c:dPt>
            <c:idx val="7"/>
            <c:invertIfNegative val="0"/>
            <c:bubble3D val="0"/>
            <c:spPr>
              <a:solidFill>
                <a:schemeClr val="accent2">
                  <a:lumMod val="60000"/>
                </a:schemeClr>
              </a:solidFill>
              <a:ln>
                <a:noFill/>
              </a:ln>
              <a:effectLst/>
              <a:sp3d/>
            </c:spPr>
          </c:dPt>
          <c:dPt>
            <c:idx val="8"/>
            <c:invertIfNegative val="0"/>
            <c:bubble3D val="0"/>
            <c:spPr>
              <a:solidFill>
                <a:schemeClr val="accent3">
                  <a:lumMod val="60000"/>
                </a:schemeClr>
              </a:solidFill>
              <a:ln>
                <a:noFill/>
              </a:ln>
              <a:effectLst/>
              <a:sp3d/>
            </c:spPr>
          </c:dPt>
          <c:dPt>
            <c:idx val="9"/>
            <c:invertIfNegative val="0"/>
            <c:bubble3D val="0"/>
            <c:spPr>
              <a:solidFill>
                <a:schemeClr val="accent4">
                  <a:lumMod val="60000"/>
                </a:schemeClr>
              </a:solidFill>
              <a:ln>
                <a:noFill/>
              </a:ln>
              <a:effectLst/>
              <a:sp3d/>
            </c:spPr>
          </c:dPt>
          <c:dPt>
            <c:idx val="10"/>
            <c:invertIfNegative val="0"/>
            <c:bubble3D val="0"/>
            <c:spPr>
              <a:solidFill>
                <a:schemeClr val="accent5">
                  <a:lumMod val="60000"/>
                </a:schemeClr>
              </a:solidFill>
              <a:ln>
                <a:noFill/>
              </a:ln>
              <a:effectLst/>
              <a:sp3d/>
            </c:spPr>
          </c:dPt>
          <c:dPt>
            <c:idx val="11"/>
            <c:invertIfNegative val="0"/>
            <c:bubble3D val="0"/>
            <c:spPr>
              <a:solidFill>
                <a:schemeClr val="accent6">
                  <a:lumMod val="60000"/>
                </a:schemeClr>
              </a:solidFill>
              <a:ln>
                <a:noFill/>
              </a:ln>
              <a:effectLst/>
              <a:sp3d/>
            </c:spPr>
          </c:dPt>
          <c:dPt>
            <c:idx val="12"/>
            <c:invertIfNegative val="0"/>
            <c:bubble3D val="0"/>
            <c:spPr>
              <a:solidFill>
                <a:schemeClr val="accent1">
                  <a:lumMod val="80000"/>
                  <a:lumOff val="20000"/>
                </a:schemeClr>
              </a:solidFill>
              <a:ln>
                <a:noFill/>
              </a:ln>
              <a:effectLst/>
              <a:sp3d/>
            </c:spPr>
          </c:dPt>
          <c:dPt>
            <c:idx val="13"/>
            <c:invertIfNegative val="0"/>
            <c:bubble3D val="0"/>
            <c:spPr>
              <a:solidFill>
                <a:schemeClr val="accent2">
                  <a:lumMod val="80000"/>
                  <a:lumOff val="20000"/>
                </a:schemeClr>
              </a:solidFill>
              <a:ln>
                <a:noFill/>
              </a:ln>
              <a:effectLst/>
              <a:sp3d/>
            </c:spPr>
          </c:dPt>
          <c:dPt>
            <c:idx val="14"/>
            <c:invertIfNegative val="0"/>
            <c:bubble3D val="0"/>
            <c:spPr>
              <a:solidFill>
                <a:schemeClr val="accent3">
                  <a:lumMod val="80000"/>
                  <a:lumOff val="20000"/>
                </a:schemeClr>
              </a:solidFill>
              <a:ln>
                <a:noFill/>
              </a:ln>
              <a:effectLst/>
              <a:sp3d/>
            </c:spPr>
          </c:dPt>
          <c:dPt>
            <c:idx val="15"/>
            <c:invertIfNegative val="0"/>
            <c:bubble3D val="0"/>
            <c:spPr>
              <a:solidFill>
                <a:schemeClr val="accent4">
                  <a:lumMod val="80000"/>
                  <a:lumOff val="2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Sayfa1!$E$55:$E$70</c:f>
              <c:strCache>
                <c:ptCount val="16"/>
                <c:pt idx="0">
                  <c:v>1</c:v>
                </c:pt>
                <c:pt idx="1">
                  <c:v>2</c:v>
                </c:pt>
                <c:pt idx="2">
                  <c:v>3</c:v>
                </c:pt>
                <c:pt idx="3">
                  <c:v>4</c:v>
                </c:pt>
                <c:pt idx="4">
                  <c:v>5</c:v>
                </c:pt>
                <c:pt idx="5">
                  <c:v>6</c:v>
                </c:pt>
                <c:pt idx="6">
                  <c:v>9</c:v>
                </c:pt>
                <c:pt idx="7">
                  <c:v>10</c:v>
                </c:pt>
                <c:pt idx="8">
                  <c:v>13</c:v>
                </c:pt>
                <c:pt idx="9">
                  <c:v>14</c:v>
                </c:pt>
                <c:pt idx="10">
                  <c:v>27</c:v>
                </c:pt>
                <c:pt idx="11">
                  <c:v>30</c:v>
                </c:pt>
                <c:pt idx="12">
                  <c:v>44</c:v>
                </c:pt>
                <c:pt idx="13">
                  <c:v>56</c:v>
                </c:pt>
                <c:pt idx="14">
                  <c:v>60</c:v>
                </c:pt>
                <c:pt idx="15">
                  <c:v>Süresiz</c:v>
                </c:pt>
              </c:strCache>
            </c:strRef>
          </c:cat>
          <c:val>
            <c:numRef>
              <c:f>Sayfa1!$F$55:$F$70</c:f>
              <c:numCache>
                <c:formatCode>###0</c:formatCode>
                <c:ptCount val="16"/>
                <c:pt idx="0">
                  <c:v>2.0</c:v>
                </c:pt>
                <c:pt idx="1">
                  <c:v>1.0</c:v>
                </c:pt>
                <c:pt idx="2">
                  <c:v>11.0</c:v>
                </c:pt>
                <c:pt idx="3">
                  <c:v>2.0</c:v>
                </c:pt>
                <c:pt idx="4">
                  <c:v>1.0</c:v>
                </c:pt>
                <c:pt idx="5">
                  <c:v>2.0</c:v>
                </c:pt>
                <c:pt idx="6">
                  <c:v>2.0</c:v>
                </c:pt>
                <c:pt idx="7">
                  <c:v>5.0</c:v>
                </c:pt>
                <c:pt idx="8">
                  <c:v>1.0</c:v>
                </c:pt>
                <c:pt idx="9">
                  <c:v>2.0</c:v>
                </c:pt>
                <c:pt idx="10">
                  <c:v>1.0</c:v>
                </c:pt>
                <c:pt idx="11">
                  <c:v>7.0</c:v>
                </c:pt>
                <c:pt idx="12">
                  <c:v>1.0</c:v>
                </c:pt>
                <c:pt idx="13">
                  <c:v>1.0</c:v>
                </c:pt>
                <c:pt idx="14">
                  <c:v>1.0</c:v>
                </c:pt>
                <c:pt idx="15">
                  <c:v>9.0</c:v>
                </c:pt>
              </c:numCache>
            </c:numRef>
          </c:val>
        </c:ser>
        <c:dLbls>
          <c:showLegendKey val="0"/>
          <c:showVal val="0"/>
          <c:showCatName val="0"/>
          <c:showSerName val="0"/>
          <c:showPercent val="0"/>
          <c:showBubbleSize val="0"/>
        </c:dLbls>
        <c:gapWidth val="150"/>
        <c:shape val="box"/>
        <c:axId val="2098515096"/>
        <c:axId val="2098511448"/>
        <c:axId val="0"/>
      </c:bar3DChart>
      <c:catAx>
        <c:axId val="2098515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511448"/>
        <c:crosses val="autoZero"/>
        <c:auto val="1"/>
        <c:lblAlgn val="ctr"/>
        <c:lblOffset val="100"/>
        <c:noMultiLvlLbl val="0"/>
      </c:catAx>
      <c:valAx>
        <c:axId val="2098511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515096"/>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Banned</a:t>
            </a:r>
            <a:r>
              <a:rPr lang="tr-TR" baseline="0"/>
              <a:t> Events by Subject</a:t>
            </a:r>
            <a:endParaRPr lang="tr-T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1"/>
        <c:ser>
          <c:idx val="0"/>
          <c:order val="0"/>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Pt>
            <c:idx val="5"/>
            <c:invertIfNegative val="0"/>
            <c:bubble3D val="0"/>
            <c:spPr>
              <a:solidFill>
                <a:schemeClr val="accent6"/>
              </a:solidFill>
              <a:ln>
                <a:noFill/>
              </a:ln>
              <a:effectLst/>
              <a:sp3d/>
            </c:spPr>
          </c:dPt>
          <c:dPt>
            <c:idx val="6"/>
            <c:invertIfNegative val="0"/>
            <c:bubble3D val="0"/>
            <c:spPr>
              <a:solidFill>
                <a:schemeClr val="accent1">
                  <a:lumMod val="60000"/>
                </a:schemeClr>
              </a:solidFill>
              <a:ln>
                <a:noFill/>
              </a:ln>
              <a:effectLst/>
              <a:sp3d/>
            </c:spPr>
          </c:dPt>
          <c:dPt>
            <c:idx val="7"/>
            <c:invertIfNegative val="0"/>
            <c:bubble3D val="0"/>
            <c:spPr>
              <a:solidFill>
                <a:schemeClr val="accent2">
                  <a:lumMod val="60000"/>
                </a:schemeClr>
              </a:solidFill>
              <a:ln>
                <a:noFill/>
              </a:ln>
              <a:effectLst/>
              <a:sp3d/>
            </c:spPr>
          </c:dPt>
          <c:dPt>
            <c:idx val="8"/>
            <c:invertIfNegative val="0"/>
            <c:bubble3D val="0"/>
            <c:spPr>
              <a:solidFill>
                <a:schemeClr val="accent3">
                  <a:lumMod val="60000"/>
                </a:schemeClr>
              </a:solidFill>
              <a:ln>
                <a:noFill/>
              </a:ln>
              <a:effectLst/>
              <a:sp3d/>
            </c:spPr>
          </c:dPt>
          <c:dPt>
            <c:idx val="9"/>
            <c:invertIfNegative val="0"/>
            <c:bubble3D val="0"/>
            <c:spPr>
              <a:solidFill>
                <a:schemeClr val="accent4">
                  <a:lumMod val="60000"/>
                </a:schemeClr>
              </a:solidFill>
              <a:ln>
                <a:noFill/>
              </a:ln>
              <a:effectLst/>
              <a:sp3d/>
            </c:spPr>
          </c:dPt>
          <c:dPt>
            <c:idx val="10"/>
            <c:invertIfNegative val="0"/>
            <c:bubble3D val="0"/>
            <c:spPr>
              <a:solidFill>
                <a:schemeClr val="accent5">
                  <a:lumMod val="60000"/>
                </a:schemeClr>
              </a:solidFill>
              <a:ln>
                <a:noFill/>
              </a:ln>
              <a:effectLst/>
              <a:sp3d/>
            </c:spPr>
          </c:dPt>
          <c:dPt>
            <c:idx val="11"/>
            <c:invertIfNegative val="0"/>
            <c:bubble3D val="0"/>
            <c:spPr>
              <a:solidFill>
                <a:schemeClr val="accent6">
                  <a:lumMod val="60000"/>
                </a:schemeClr>
              </a:solidFill>
              <a:ln>
                <a:noFill/>
              </a:ln>
              <a:effectLst/>
              <a:sp3d/>
            </c:spPr>
          </c:dPt>
          <c:dPt>
            <c:idx val="12"/>
            <c:invertIfNegative val="0"/>
            <c:bubble3D val="0"/>
            <c:spPr>
              <a:solidFill>
                <a:schemeClr val="accent1">
                  <a:lumMod val="80000"/>
                  <a:lumOff val="20000"/>
                </a:schemeClr>
              </a:solidFill>
              <a:ln>
                <a:noFill/>
              </a:ln>
              <a:effectLst/>
              <a:sp3d/>
            </c:spPr>
          </c:dPt>
          <c:dPt>
            <c:idx val="13"/>
            <c:invertIfNegative val="0"/>
            <c:bubble3D val="0"/>
            <c:spPr>
              <a:solidFill>
                <a:schemeClr val="accent2">
                  <a:lumMod val="80000"/>
                  <a:lumOff val="20000"/>
                </a:schemeClr>
              </a:solidFill>
              <a:ln>
                <a:noFill/>
              </a:ln>
              <a:effectLst/>
              <a:sp3d/>
            </c:spPr>
          </c:dPt>
          <c:dPt>
            <c:idx val="14"/>
            <c:invertIfNegative val="0"/>
            <c:bubble3D val="0"/>
            <c:spPr>
              <a:solidFill>
                <a:schemeClr val="accent3">
                  <a:lumMod val="80000"/>
                  <a:lumOff val="20000"/>
                </a:schemeClr>
              </a:solidFill>
              <a:ln>
                <a:noFill/>
              </a:ln>
              <a:effectLst/>
              <a:sp3d/>
            </c:spPr>
          </c:dPt>
          <c:dPt>
            <c:idx val="15"/>
            <c:invertIfNegative val="0"/>
            <c:bubble3D val="0"/>
            <c:spPr>
              <a:solidFill>
                <a:schemeClr val="accent4">
                  <a:lumMod val="80000"/>
                  <a:lumOff val="20000"/>
                </a:schemeClr>
              </a:solidFill>
              <a:ln>
                <a:noFill/>
              </a:ln>
              <a:effectLst/>
              <a:sp3d/>
            </c:spPr>
          </c:dPt>
          <c:dLbls>
            <c:dLbl>
              <c:idx val="0"/>
              <c:layout>
                <c:manualLayout>
                  <c:x val="0.0"/>
                  <c:y val="-0.074074074074074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0277777777777778"/>
                  <c:y val="-0.083333333333333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83333333333333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
                  <c:y val="-0.097222222222222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0"/>
                  <c:y val="-0.2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00833333333333334"/>
                  <c:y val="-0.097222222222222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
                  <c:y val="-0.083333333333333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011111111111111"/>
                  <c:y val="-0.1203703703703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00555555555555555"/>
                  <c:y val="-0.0555555555555555"/>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00555555555555555"/>
                  <c:y val="-0.060185185185185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0"/>
                  <c:y val="-0.0555555555555555"/>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00277777777777778"/>
                  <c:y val="-0.0740740740740741"/>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0.00555555555555555"/>
                  <c:y val="-0.060185185185185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0185067526416E-16"/>
                  <c:y val="-0.055555555555555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00277777777777768"/>
                  <c:y val="-0.0555555555555555"/>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0.00833333333333323"/>
                  <c:y val="-0.06481481481481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'[Spesifik yasak (1).xlsx]Sayfa1'!$C$46:$C$61</c:f>
              <c:strCache>
                <c:ptCount val="16"/>
                <c:pt idx="0">
                  <c:v>Rakı Festival</c:v>
                </c:pt>
                <c:pt idx="1">
                  <c:v>Political Party Event</c:v>
                </c:pt>
                <c:pt idx="2">
                  <c:v>SoE Panel</c:v>
                </c:pt>
                <c:pt idx="3">
                  <c:v>Women's Day</c:v>
                </c:pt>
                <c:pt idx="4">
                  <c:v>Newroz Celebration</c:v>
                </c:pt>
                <c:pt idx="5">
                  <c:v>Other</c:v>
                </c:pt>
                <c:pt idx="6">
                  <c:v>10 Ekim  Memorial</c:v>
                </c:pt>
                <c:pt idx="7">
                  <c:v>Peace Day</c:v>
                </c:pt>
                <c:pt idx="8">
                  <c:v>August 30 Celebrations</c:v>
                </c:pt>
                <c:pt idx="9">
                  <c:v>Trial Monitoring</c:v>
                </c:pt>
                <c:pt idx="10">
                  <c:v>Trans Pride Parade</c:v>
                </c:pt>
                <c:pt idx="11">
                  <c:v>LGBTİ Pride Parade</c:v>
                </c:pt>
                <c:pt idx="12">
                  <c:v>Curfews</c:v>
                </c:pt>
                <c:pt idx="13">
                  <c:v>Maraş Events Memorial</c:v>
                </c:pt>
                <c:pt idx="14">
                  <c:v>Ecological Protests</c:v>
                </c:pt>
                <c:pt idx="15">
                  <c:v>Refugee Shelter Center Construction</c:v>
                </c:pt>
              </c:strCache>
            </c:strRef>
          </c:cat>
          <c:val>
            <c:numRef>
              <c:f>'[Spesifik yasak (1).xlsx]Sayfa1'!$D$46:$D$61</c:f>
              <c:numCache>
                <c:formatCode>###0</c:formatCode>
                <c:ptCount val="16"/>
                <c:pt idx="0">
                  <c:v>1.0</c:v>
                </c:pt>
                <c:pt idx="1">
                  <c:v>4.0</c:v>
                </c:pt>
                <c:pt idx="2">
                  <c:v>1.0</c:v>
                </c:pt>
                <c:pt idx="3">
                  <c:v>4.0</c:v>
                </c:pt>
                <c:pt idx="4">
                  <c:v>20.0</c:v>
                </c:pt>
                <c:pt idx="5">
                  <c:v>2.0</c:v>
                </c:pt>
                <c:pt idx="6">
                  <c:v>3.0</c:v>
                </c:pt>
                <c:pt idx="7">
                  <c:v>8.0</c:v>
                </c:pt>
                <c:pt idx="8">
                  <c:v>1.0</c:v>
                </c:pt>
                <c:pt idx="9">
                  <c:v>1.0</c:v>
                </c:pt>
                <c:pt idx="10">
                  <c:v>1.0</c:v>
                </c:pt>
                <c:pt idx="11">
                  <c:v>2.0</c:v>
                </c:pt>
                <c:pt idx="12">
                  <c:v>1.0</c:v>
                </c:pt>
                <c:pt idx="13">
                  <c:v>1.0</c:v>
                </c:pt>
                <c:pt idx="14">
                  <c:v>1.0</c:v>
                </c:pt>
                <c:pt idx="15">
                  <c:v>1.0</c:v>
                </c:pt>
              </c:numCache>
            </c:numRef>
          </c:val>
        </c:ser>
        <c:dLbls>
          <c:showLegendKey val="0"/>
          <c:showVal val="0"/>
          <c:showCatName val="0"/>
          <c:showSerName val="0"/>
          <c:showPercent val="0"/>
          <c:showBubbleSize val="0"/>
        </c:dLbls>
        <c:gapWidth val="150"/>
        <c:shape val="box"/>
        <c:axId val="2098076776"/>
        <c:axId val="2098080552"/>
        <c:axId val="0"/>
      </c:bar3DChart>
      <c:catAx>
        <c:axId val="2098076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080552"/>
        <c:crosses val="autoZero"/>
        <c:auto val="1"/>
        <c:lblAlgn val="ctr"/>
        <c:lblOffset val="100"/>
        <c:noMultiLvlLbl val="0"/>
      </c:catAx>
      <c:valAx>
        <c:axId val="2098080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076776"/>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Type of Assembly</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794619422572"/>
          <c:y val="0.185661375661376"/>
          <c:w val="0.851649825021872"/>
          <c:h val="0.399592967545723"/>
        </c:manualLayout>
      </c:layout>
      <c:bar3DChart>
        <c:barDir val="col"/>
        <c:grouping val="clustered"/>
        <c:varyColors val="1"/>
        <c:ser>
          <c:idx val="0"/>
          <c:order val="0"/>
          <c:tx>
            <c:strRef>
              <c:f>'[olay bazlı tablo.xlsx]Sayfa1'!$I$30</c:f>
              <c:strCache>
                <c:ptCount val="1"/>
                <c:pt idx="0">
                  <c:v>ProtestoBiçimi</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Pt>
            <c:idx val="5"/>
            <c:invertIfNegative val="0"/>
            <c:bubble3D val="0"/>
            <c:spPr>
              <a:solidFill>
                <a:schemeClr val="accent6"/>
              </a:solidFill>
              <a:ln>
                <a:noFill/>
              </a:ln>
              <a:effectLst/>
              <a:sp3d/>
            </c:spPr>
          </c:dPt>
          <c:dPt>
            <c:idx val="6"/>
            <c:invertIfNegative val="0"/>
            <c:bubble3D val="0"/>
            <c:spPr>
              <a:solidFill>
                <a:schemeClr val="accent1">
                  <a:lumMod val="6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'[olay bazlı tablo.xlsx]Sayfa1'!$H$31:$H$37</c:f>
              <c:strCache>
                <c:ptCount val="7"/>
                <c:pt idx="0">
                  <c:v>Press Release, March, Parade, Sit-in etc.</c:v>
                </c:pt>
                <c:pt idx="1">
                  <c:v>Rally</c:v>
                </c:pt>
                <c:pt idx="2">
                  <c:v>Counter-Protest</c:v>
                </c:pt>
                <c:pt idx="3">
                  <c:v>Stands, Brochures, Tents</c:v>
                </c:pt>
                <c:pt idx="4">
                  <c:v>Celebration</c:v>
                </c:pt>
                <c:pt idx="5">
                  <c:v>Memorial Event</c:v>
                </c:pt>
                <c:pt idx="6">
                  <c:v>Others</c:v>
                </c:pt>
              </c:strCache>
            </c:strRef>
          </c:cat>
          <c:val>
            <c:numRef>
              <c:f>'[olay bazlı tablo.xlsx]Sayfa1'!$I$31:$I$37</c:f>
              <c:numCache>
                <c:formatCode>###0</c:formatCode>
                <c:ptCount val="7"/>
                <c:pt idx="0">
                  <c:v>160.0</c:v>
                </c:pt>
                <c:pt idx="1">
                  <c:v>3.0</c:v>
                </c:pt>
                <c:pt idx="2">
                  <c:v>5.0</c:v>
                </c:pt>
                <c:pt idx="3">
                  <c:v>8.0</c:v>
                </c:pt>
                <c:pt idx="4">
                  <c:v>27.0</c:v>
                </c:pt>
                <c:pt idx="5">
                  <c:v>16.0</c:v>
                </c:pt>
                <c:pt idx="6">
                  <c:v>5.0</c:v>
                </c:pt>
              </c:numCache>
            </c:numRef>
          </c:val>
        </c:ser>
        <c:dLbls>
          <c:showLegendKey val="0"/>
          <c:showVal val="0"/>
          <c:showCatName val="0"/>
          <c:showSerName val="0"/>
          <c:showPercent val="0"/>
          <c:showBubbleSize val="0"/>
        </c:dLbls>
        <c:gapWidth val="150"/>
        <c:shape val="box"/>
        <c:axId val="2098124408"/>
        <c:axId val="2098128104"/>
        <c:axId val="0"/>
      </c:bar3DChart>
      <c:catAx>
        <c:axId val="2098124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128104"/>
        <c:crosses val="autoZero"/>
        <c:auto val="1"/>
        <c:lblAlgn val="ctr"/>
        <c:lblOffset val="100"/>
        <c:noMultiLvlLbl val="0"/>
      </c:catAx>
      <c:valAx>
        <c:axId val="2098128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124408"/>
        <c:crosses val="autoZero"/>
        <c:crossBetween val="between"/>
      </c:valAx>
      <c:spPr>
        <a:no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Methods of Intervention</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'[olay bazlı tablo.xlsx]Sayfa1'!$I$52</c:f>
              <c:strCache>
                <c:ptCount val="1"/>
                <c:pt idx="0">
                  <c:v>G.KuvetlerininMüdahaleBiçimi</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Pt>
            <c:idx val="5"/>
            <c:invertIfNegative val="0"/>
            <c:bubble3D val="0"/>
            <c:spPr>
              <a:solidFill>
                <a:schemeClr val="accent6"/>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'[olay bazlı tablo.xlsx]Sayfa1'!$H$53:$H$58</c:f>
              <c:strCache>
                <c:ptCount val="6"/>
                <c:pt idx="0">
                  <c:v>Physical Force (Battery, Baton etc.)</c:v>
                </c:pt>
                <c:pt idx="1">
                  <c:v>Disproportionate Use of Force (Gas, Water)</c:v>
                </c:pt>
                <c:pt idx="2">
                  <c:v>Preventative Measures</c:v>
                </c:pt>
                <c:pt idx="3">
                  <c:v>Phy. Force./ Preventative Measures</c:v>
                </c:pt>
                <c:pt idx="4">
                  <c:v>Disp. Force /Preventative Measures</c:v>
                </c:pt>
                <c:pt idx="5">
                  <c:v>Disp. Force/Real Bullet</c:v>
                </c:pt>
              </c:strCache>
            </c:strRef>
          </c:cat>
          <c:val>
            <c:numRef>
              <c:f>'[olay bazlı tablo.xlsx]Sayfa1'!$I$53:$I$58</c:f>
              <c:numCache>
                <c:formatCode>###0</c:formatCode>
                <c:ptCount val="6"/>
                <c:pt idx="0">
                  <c:v>42.0</c:v>
                </c:pt>
                <c:pt idx="1">
                  <c:v>97.0</c:v>
                </c:pt>
                <c:pt idx="2">
                  <c:v>31.0</c:v>
                </c:pt>
                <c:pt idx="3">
                  <c:v>9.0</c:v>
                </c:pt>
                <c:pt idx="4">
                  <c:v>9.0</c:v>
                </c:pt>
                <c:pt idx="5">
                  <c:v>1.0</c:v>
                </c:pt>
              </c:numCache>
            </c:numRef>
          </c:val>
        </c:ser>
        <c:dLbls>
          <c:showLegendKey val="0"/>
          <c:showVal val="0"/>
          <c:showCatName val="0"/>
          <c:showSerName val="0"/>
          <c:showPercent val="0"/>
          <c:showBubbleSize val="0"/>
        </c:dLbls>
        <c:gapWidth val="150"/>
        <c:shape val="box"/>
        <c:axId val="2098171656"/>
        <c:axId val="2098175352"/>
        <c:axId val="0"/>
      </c:bar3DChart>
      <c:catAx>
        <c:axId val="2098171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175352"/>
        <c:crosses val="autoZero"/>
        <c:auto val="1"/>
        <c:lblAlgn val="ctr"/>
        <c:lblOffset val="100"/>
        <c:noMultiLvlLbl val="0"/>
      </c:catAx>
      <c:valAx>
        <c:axId val="2098175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171656"/>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Number of People Under Custody</a:t>
            </a:r>
            <a:endParaRPr lang="en-US"/>
          </a:p>
        </c:rich>
      </c:tx>
      <c:layout>
        <c:manualLayout>
          <c:xMode val="edge"/>
          <c:yMode val="edge"/>
          <c:x val="0.127063683826525"/>
          <c:y val="0.0330578512396694"/>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'[olay bazlı tablo.xlsx]Sayfa1'!$I$73</c:f>
              <c:strCache>
                <c:ptCount val="1"/>
                <c:pt idx="0">
                  <c:v>GözaltınaAlınanKişiSayısı</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Pt>
            <c:idx val="3"/>
            <c:invertIfNegative val="0"/>
            <c:bubble3D val="0"/>
            <c:spPr>
              <a:solidFill>
                <a:schemeClr val="accent4"/>
              </a:solidFill>
              <a:ln>
                <a:noFill/>
              </a:ln>
              <a:effectLst/>
              <a:sp3d/>
            </c:spPr>
          </c:dPt>
          <c:dPt>
            <c:idx val="4"/>
            <c:invertIfNegative val="0"/>
            <c:bubble3D val="0"/>
            <c:spPr>
              <a:solidFill>
                <a:schemeClr val="accent5"/>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'[olay bazlı tablo.xlsx]Sayfa1'!$H$74:$H$78</c:f>
              <c:strCache>
                <c:ptCount val="5"/>
                <c:pt idx="0">
                  <c:v>1-10</c:v>
                </c:pt>
                <c:pt idx="1">
                  <c:v>11-20</c:v>
                </c:pt>
                <c:pt idx="2">
                  <c:v>21-30</c:v>
                </c:pt>
                <c:pt idx="3">
                  <c:v>31-40</c:v>
                </c:pt>
                <c:pt idx="4">
                  <c:v>40+</c:v>
                </c:pt>
              </c:strCache>
            </c:strRef>
          </c:cat>
          <c:val>
            <c:numRef>
              <c:f>'[olay bazlı tablo.xlsx]Sayfa1'!$I$74:$I$78</c:f>
              <c:numCache>
                <c:formatCode>###0</c:formatCode>
                <c:ptCount val="5"/>
                <c:pt idx="0">
                  <c:v>80.0</c:v>
                </c:pt>
                <c:pt idx="1">
                  <c:v>41.0</c:v>
                </c:pt>
                <c:pt idx="2">
                  <c:v>16.0</c:v>
                </c:pt>
                <c:pt idx="3">
                  <c:v>2.0</c:v>
                </c:pt>
                <c:pt idx="4">
                  <c:v>7.0</c:v>
                </c:pt>
              </c:numCache>
            </c:numRef>
          </c:val>
        </c:ser>
        <c:dLbls>
          <c:showLegendKey val="0"/>
          <c:showVal val="0"/>
          <c:showCatName val="0"/>
          <c:showSerName val="0"/>
          <c:showPercent val="0"/>
          <c:showBubbleSize val="0"/>
        </c:dLbls>
        <c:gapWidth val="150"/>
        <c:shape val="box"/>
        <c:axId val="2097495688"/>
        <c:axId val="2097491976"/>
        <c:axId val="0"/>
      </c:bar3DChart>
      <c:catAx>
        <c:axId val="2097495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91976"/>
        <c:crosses val="autoZero"/>
        <c:auto val="1"/>
        <c:lblAlgn val="ctr"/>
        <c:lblOffset val="100"/>
        <c:noMultiLvlLbl val="0"/>
      </c:catAx>
      <c:valAx>
        <c:axId val="2097491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95688"/>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Detainment</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'[olay bazlı tablo.xlsx]Sayfa1'!$I$64</c:f>
              <c:strCache>
                <c:ptCount val="1"/>
                <c:pt idx="0">
                  <c:v>Gözaltıİşlemi</c:v>
                </c:pt>
              </c:strCache>
            </c:strRef>
          </c:tx>
          <c:invertIfNegative val="0"/>
          <c:dPt>
            <c:idx val="0"/>
            <c:invertIfNegative val="0"/>
            <c:bubble3D val="0"/>
            <c:spPr>
              <a:solidFill>
                <a:schemeClr val="accent1"/>
              </a:solidFill>
              <a:ln>
                <a:noFill/>
              </a:ln>
              <a:effectLst/>
              <a:sp3d/>
            </c:spPr>
          </c:dPt>
          <c:dPt>
            <c:idx val="1"/>
            <c:invertIfNegative val="0"/>
            <c:bubble3D val="0"/>
            <c:spPr>
              <a:solidFill>
                <a:schemeClr val="accent2"/>
              </a:solidFill>
              <a:ln>
                <a:noFill/>
              </a:ln>
              <a:effectLst/>
              <a:sp3d/>
            </c:spPr>
          </c:dPt>
          <c:dPt>
            <c:idx val="2"/>
            <c:invertIfNegative val="0"/>
            <c:bubble3D val="0"/>
            <c:spPr>
              <a:solidFill>
                <a:schemeClr val="accent3"/>
              </a:solidFill>
              <a:ln>
                <a:noFill/>
              </a:ln>
              <a:effectLst/>
              <a:sp3d/>
            </c:spPr>
          </c:dPt>
          <c:dLbls>
            <c:dLbl>
              <c:idx val="0"/>
              <c:layout>
                <c:manualLayout>
                  <c:x val="0.0138888888888889"/>
                  <c:y val="-0.092592592592592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138888888888889"/>
                  <c:y val="-0.10648148148148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111111111111111"/>
                  <c:y val="-0.10648148148148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'[olay bazlı tablo.xlsx]Sayfa1'!$H$65:$H$67</c:f>
              <c:strCache>
                <c:ptCount val="3"/>
                <c:pt idx="0">
                  <c:v>Yes</c:v>
                </c:pt>
                <c:pt idx="1">
                  <c:v>No</c:v>
                </c:pt>
                <c:pt idx="2">
                  <c:v>Unknown</c:v>
                </c:pt>
              </c:strCache>
            </c:strRef>
          </c:cat>
          <c:val>
            <c:numRef>
              <c:f>'[olay bazlı tablo.xlsx]Sayfa1'!$I$65:$I$67</c:f>
              <c:numCache>
                <c:formatCode>###0</c:formatCode>
                <c:ptCount val="3"/>
                <c:pt idx="0">
                  <c:v>158.0</c:v>
                </c:pt>
                <c:pt idx="1">
                  <c:v>46.0</c:v>
                </c:pt>
                <c:pt idx="2">
                  <c:v>21.0</c:v>
                </c:pt>
              </c:numCache>
            </c:numRef>
          </c:val>
        </c:ser>
        <c:dLbls>
          <c:showLegendKey val="0"/>
          <c:showVal val="0"/>
          <c:showCatName val="0"/>
          <c:showSerName val="0"/>
          <c:showPercent val="0"/>
          <c:showBubbleSize val="0"/>
        </c:dLbls>
        <c:gapWidth val="150"/>
        <c:shape val="box"/>
        <c:axId val="2097447288"/>
        <c:axId val="2097443496"/>
        <c:axId val="2097439704"/>
      </c:bar3DChart>
      <c:catAx>
        <c:axId val="2097447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43496"/>
        <c:crosses val="autoZero"/>
        <c:auto val="1"/>
        <c:lblAlgn val="ctr"/>
        <c:lblOffset val="100"/>
        <c:noMultiLvlLbl val="0"/>
      </c:catAx>
      <c:valAx>
        <c:axId val="2097443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47288"/>
        <c:crosses val="autoZero"/>
        <c:crossBetween val="between"/>
      </c:valAx>
      <c:serAx>
        <c:axId val="2097439704"/>
        <c:scaling>
          <c:orientation val="minMax"/>
        </c:scaling>
        <c:delete val="1"/>
        <c:axPos val="b"/>
        <c:majorTickMark val="none"/>
        <c:minorTickMark val="none"/>
        <c:tickLblPos val="nextTo"/>
        <c:crossAx val="2097443496"/>
        <c:crosses val="autoZero"/>
      </c:ser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RATIO</a:t>
            </a:r>
            <a:r>
              <a:rPr lang="tr-TR" baseline="0"/>
              <a:t> OF SUSPECTS UNDER ASSEMBLY LAW TO ALL SUSPECTS</a:t>
            </a:r>
            <a:endParaRPr lang="en-US"/>
          </a:p>
        </c:rich>
      </c:tx>
      <c:layout>
        <c:manualLayout>
          <c:xMode val="edge"/>
          <c:yMode val="edge"/>
          <c:x val="0.196848065362797"/>
          <c:y val="0.0237037073904862"/>
        </c:manualLayout>
      </c:layout>
      <c:overlay val="0"/>
      <c:spPr>
        <a:noFill/>
        <a:ln>
          <a:noFill/>
        </a:ln>
        <a:effectLst/>
      </c:spPr>
    </c:title>
    <c:autoTitleDeleted val="0"/>
    <c:plotArea>
      <c:layout>
        <c:manualLayout>
          <c:layoutTarget val="inner"/>
          <c:xMode val="edge"/>
          <c:yMode val="edge"/>
          <c:x val="0.0521750910168487"/>
          <c:y val="0.30060251589035"/>
          <c:w val="0.918255016510033"/>
          <c:h val="0.517379141421855"/>
        </c:manualLayout>
      </c:layout>
      <c:lineChart>
        <c:grouping val="standard"/>
        <c:varyColors val="0"/>
        <c:ser>
          <c:idx val="0"/>
          <c:order val="0"/>
          <c:tx>
            <c:strRef>
              <c:f>Sayfa1!#REF!</c:f>
              <c:strCache>
                <c:ptCount val="1"/>
                <c:pt idx="0">
                  <c:v>#REF!</c:v>
                </c:pt>
              </c:strCache>
            </c:strRef>
          </c:tx>
          <c:spPr>
            <a:ln w="28575" cap="rnd">
              <a:solidFill>
                <a:schemeClr val="accent1"/>
              </a:solidFill>
              <a:round/>
            </a:ln>
            <a:effectLst/>
          </c:spPr>
          <c:marker>
            <c:symbol val="none"/>
          </c:marker>
          <c:cat>
            <c:numRef>
              <c:f>'[ÇALIŞMA (1).xlsx]Sayfa1'!$O$19:$O$23</c:f>
              <c:numCache>
                <c:formatCode>General</c:formatCode>
                <c:ptCount val="5"/>
                <c:pt idx="0">
                  <c:v>2011.0</c:v>
                </c:pt>
                <c:pt idx="1">
                  <c:v>2012.0</c:v>
                </c:pt>
                <c:pt idx="2">
                  <c:v>2013.0</c:v>
                </c:pt>
                <c:pt idx="3">
                  <c:v>2014.0</c:v>
                </c:pt>
                <c:pt idx="4">
                  <c:v>2015.0</c:v>
                </c:pt>
              </c:numCache>
            </c:numRef>
          </c:cat>
          <c:val>
            <c:numRef>
              <c:f>Sayfa1!#REF!</c:f>
              <c:numCache>
                <c:formatCode>General</c:formatCode>
                <c:ptCount val="1"/>
                <c:pt idx="0">
                  <c:v>1.0</c:v>
                </c:pt>
              </c:numCache>
            </c:numRef>
          </c:val>
          <c:smooth val="0"/>
        </c:ser>
        <c:ser>
          <c:idx val="1"/>
          <c:order val="1"/>
          <c:tx>
            <c:strRef>
              <c:f>'[ÇALIŞMA (1).xlsx]Sayfa1'!$P$18</c:f>
              <c:strCache>
                <c:ptCount val="1"/>
                <c:pt idx="0">
                  <c:v>SHARE IN TOTAL NUMBER OF SUSPECTS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'[ÇALIŞMA (1).xlsx]Sayfa1'!$O$19:$O$23</c:f>
              <c:numCache>
                <c:formatCode>General</c:formatCode>
                <c:ptCount val="5"/>
                <c:pt idx="0">
                  <c:v>2011.0</c:v>
                </c:pt>
                <c:pt idx="1">
                  <c:v>2012.0</c:v>
                </c:pt>
                <c:pt idx="2">
                  <c:v>2013.0</c:v>
                </c:pt>
                <c:pt idx="3">
                  <c:v>2014.0</c:v>
                </c:pt>
                <c:pt idx="4">
                  <c:v>2015.0</c:v>
                </c:pt>
              </c:numCache>
            </c:numRef>
          </c:cat>
          <c:val>
            <c:numRef>
              <c:f>'[ÇALIŞMA (1).xlsx]Sayfa1'!$P$19:$P$23</c:f>
              <c:numCache>
                <c:formatCode>0.0</c:formatCode>
                <c:ptCount val="5"/>
                <c:pt idx="0">
                  <c:v>2.6</c:v>
                </c:pt>
                <c:pt idx="1">
                  <c:v>4.3</c:v>
                </c:pt>
                <c:pt idx="2">
                  <c:v>6.8</c:v>
                </c:pt>
                <c:pt idx="3">
                  <c:v>6.3</c:v>
                </c:pt>
                <c:pt idx="4" formatCode="General">
                  <c:v>6.7</c:v>
                </c:pt>
              </c:numCache>
            </c:numRef>
          </c:val>
          <c:smooth val="0"/>
        </c:ser>
        <c:dLbls>
          <c:showLegendKey val="0"/>
          <c:showVal val="0"/>
          <c:showCatName val="0"/>
          <c:showSerName val="0"/>
          <c:showPercent val="0"/>
          <c:showBubbleSize val="0"/>
        </c:dLbls>
        <c:marker val="1"/>
        <c:smooth val="0"/>
        <c:axId val="2097397896"/>
        <c:axId val="2097394312"/>
      </c:lineChart>
      <c:catAx>
        <c:axId val="209739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394312"/>
        <c:crosses val="autoZero"/>
        <c:auto val="1"/>
        <c:lblAlgn val="ctr"/>
        <c:lblOffset val="100"/>
        <c:noMultiLvlLbl val="0"/>
      </c:catAx>
      <c:valAx>
        <c:axId val="209739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397896"/>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NR OF SUSPECTS UNDER 2911 BY YEAR</a:t>
            </a:r>
            <a:endParaRPr lang="en-US"/>
          </a:p>
        </c:rich>
      </c:tx>
      <c:layout/>
      <c:overlay val="0"/>
      <c:spPr>
        <a:noFill/>
        <a:ln>
          <a:noFill/>
        </a:ln>
        <a:effectLst/>
      </c:spPr>
    </c:title>
    <c:autoTitleDeleted val="0"/>
    <c:plotArea>
      <c:layout>
        <c:manualLayout>
          <c:layoutTarget val="inner"/>
          <c:xMode val="edge"/>
          <c:yMode val="edge"/>
          <c:x val="0.0906920384951881"/>
          <c:y val="0.102268518518519"/>
          <c:w val="0.864863517060368"/>
          <c:h val="0.720887649460484"/>
        </c:manualLayout>
      </c:layout>
      <c:lineChart>
        <c:grouping val="standard"/>
        <c:varyColors val="0"/>
        <c:ser>
          <c:idx val="0"/>
          <c:order val="0"/>
          <c:tx>
            <c:strRef>
              <c:f>'[ÇALIŞMA (1).xlsx]Sayfa1'!$B$50</c:f>
              <c:strCache>
                <c:ptCount val="1"/>
                <c:pt idx="0">
                  <c:v>TOPLAM ŞÜPHELİ SAYISI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'[ÇALIŞMA (1).xlsx]Sayfa1'!$A$51:$A$55</c:f>
              <c:numCache>
                <c:formatCode>General</c:formatCode>
                <c:ptCount val="5"/>
                <c:pt idx="0">
                  <c:v>2011.0</c:v>
                </c:pt>
                <c:pt idx="1">
                  <c:v>2012.0</c:v>
                </c:pt>
                <c:pt idx="2">
                  <c:v>2013.0</c:v>
                </c:pt>
                <c:pt idx="3">
                  <c:v>2014.0</c:v>
                </c:pt>
                <c:pt idx="4">
                  <c:v>2015.0</c:v>
                </c:pt>
              </c:numCache>
            </c:numRef>
          </c:cat>
          <c:val>
            <c:numRef>
              <c:f>'[ÇALIŞMA (1).xlsx]Sayfa1'!$B$51:$B$55</c:f>
              <c:numCache>
                <c:formatCode>General</c:formatCode>
                <c:ptCount val="5"/>
                <c:pt idx="0">
                  <c:v>16283.0</c:v>
                </c:pt>
                <c:pt idx="1">
                  <c:v>17137.0</c:v>
                </c:pt>
                <c:pt idx="2">
                  <c:v>25965.0</c:v>
                </c:pt>
                <c:pt idx="3">
                  <c:v>26151.0</c:v>
                </c:pt>
                <c:pt idx="4">
                  <c:v>31268.0</c:v>
                </c:pt>
              </c:numCache>
            </c:numRef>
          </c:val>
          <c:smooth val="0"/>
        </c:ser>
        <c:dLbls>
          <c:showLegendKey val="0"/>
          <c:showVal val="0"/>
          <c:showCatName val="0"/>
          <c:showSerName val="0"/>
          <c:showPercent val="0"/>
          <c:showBubbleSize val="0"/>
        </c:dLbls>
        <c:marker val="1"/>
        <c:smooth val="0"/>
        <c:axId val="-2137023640"/>
        <c:axId val="-2135626152"/>
      </c:lineChart>
      <c:catAx>
        <c:axId val="-2137023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626152"/>
        <c:crosses val="autoZero"/>
        <c:auto val="1"/>
        <c:lblAlgn val="ctr"/>
        <c:lblOffset val="100"/>
        <c:noMultiLvlLbl val="0"/>
      </c:catAx>
      <c:valAx>
        <c:axId val="-213562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023640"/>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E518-715D-134E-B995-72A47E0C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5502</Words>
  <Characters>31368</Characters>
  <Application>Microsoft Macintosh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Student</cp:lastModifiedBy>
  <cp:revision>2</cp:revision>
  <dcterms:created xsi:type="dcterms:W3CDTF">2016-12-12T21:52:00Z</dcterms:created>
  <dcterms:modified xsi:type="dcterms:W3CDTF">2016-12-12T21:52:00Z</dcterms:modified>
</cp:coreProperties>
</file>