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126"/>
        <w:tblOverlap w:val="never"/>
        <w:tblW w:w="953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2242"/>
        <w:gridCol w:w="3224"/>
        <w:gridCol w:w="2803"/>
      </w:tblGrid>
      <w:tr w:rsidR="000167DE" w:rsidRPr="00B12661" w:rsidTr="000167DE">
        <w:trPr>
          <w:cantSplit/>
          <w:trHeight w:hRule="exact" w:val="492"/>
        </w:trPr>
        <w:tc>
          <w:tcPr>
            <w:tcW w:w="12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167DE" w:rsidRPr="00B12661" w:rsidRDefault="000167DE" w:rsidP="007F05CB">
            <w:pPr>
              <w:suppressAutoHyphens/>
              <w:spacing w:after="8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167DE" w:rsidRPr="00B12661" w:rsidRDefault="000167DE" w:rsidP="007F05CB">
            <w:pPr>
              <w:suppressAutoHyphens/>
              <w:spacing w:after="8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2661">
              <w:rPr>
                <w:rFonts w:ascii="Times New Roman" w:eastAsia="Times New Roman" w:hAnsi="Times New Roman" w:cs="Times New Roman"/>
                <w:sz w:val="28"/>
                <w:szCs w:val="28"/>
              </w:rPr>
              <w:t>Birleşmiş Milletler</w:t>
            </w:r>
          </w:p>
        </w:tc>
        <w:tc>
          <w:tcPr>
            <w:tcW w:w="602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167DE" w:rsidRPr="00B12661" w:rsidRDefault="000167DE" w:rsidP="007F05CB">
            <w:pPr>
              <w:spacing w:after="2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661">
              <w:rPr>
                <w:rFonts w:ascii="Times New Roman" w:eastAsia="Times New Roman" w:hAnsi="Times New Roman" w:cs="Times New Roman"/>
                <w:sz w:val="40"/>
                <w:szCs w:val="20"/>
              </w:rPr>
              <w:t>CRPD</w:t>
            </w:r>
            <w:r w:rsidRPr="00B12661">
              <w:rPr>
                <w:rFonts w:ascii="Times New Roman" w:eastAsia="Times New Roman" w:hAnsi="Times New Roman" w:cs="Times New Roman"/>
                <w:sz w:val="20"/>
                <w:szCs w:val="20"/>
              </w:rPr>
              <w:t>/C/5/</w:t>
            </w:r>
            <w:r w:rsidRPr="00B1266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B12661">
              <w:rPr>
                <w:rFonts w:ascii="Times New Roman" w:eastAsia="Times New Roman" w:hAnsi="Times New Roman" w:cs="Times New Roman"/>
                <w:sz w:val="20"/>
                <w:szCs w:val="20"/>
              </w:rPr>
              <w:t>/Rev.1</w:t>
            </w:r>
          </w:p>
        </w:tc>
      </w:tr>
      <w:tr w:rsidR="000167DE" w:rsidRPr="00B12661" w:rsidTr="000167DE">
        <w:trPr>
          <w:cantSplit/>
          <w:trHeight w:hRule="exact" w:val="1640"/>
        </w:trPr>
        <w:tc>
          <w:tcPr>
            <w:tcW w:w="126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0167DE" w:rsidRPr="00B12661" w:rsidRDefault="000167DE" w:rsidP="007F05CB">
            <w:pPr>
              <w:suppressAutoHyphens/>
              <w:spacing w:before="120"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66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4D9F6B98" wp14:editId="77EF8287">
                  <wp:extent cx="716280" cy="586740"/>
                  <wp:effectExtent l="0" t="0" r="7620" b="3810"/>
                  <wp:docPr id="2" name="Resim 2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0167DE" w:rsidRPr="00B12661" w:rsidRDefault="000167DE" w:rsidP="007F05CB">
            <w:pPr>
              <w:suppressAutoHyphens/>
              <w:spacing w:before="120" w:after="0" w:line="360" w:lineRule="auto"/>
              <w:rPr>
                <w:rFonts w:ascii="Times New Roman" w:eastAsia="Times New Roman" w:hAnsi="Times New Roman" w:cs="Times New Roman"/>
                <w:b/>
                <w:sz w:val="34"/>
                <w:szCs w:val="40"/>
              </w:rPr>
            </w:pPr>
            <w:r w:rsidRPr="00B12661">
              <w:rPr>
                <w:rFonts w:ascii="Times New Roman" w:eastAsia="Times New Roman" w:hAnsi="Times New Roman" w:cs="Times New Roman"/>
                <w:b/>
                <w:sz w:val="34"/>
                <w:szCs w:val="40"/>
              </w:rPr>
              <w:t xml:space="preserve">Engelli </w:t>
            </w:r>
            <w:r w:rsidR="002D4922">
              <w:rPr>
                <w:rFonts w:ascii="Times New Roman" w:eastAsia="Times New Roman" w:hAnsi="Times New Roman" w:cs="Times New Roman"/>
                <w:b/>
                <w:sz w:val="34"/>
                <w:szCs w:val="40"/>
              </w:rPr>
              <w:t>Kişilerin Hakları</w:t>
            </w:r>
          </w:p>
          <w:p w:rsidR="000167DE" w:rsidRPr="00B12661" w:rsidRDefault="000167DE" w:rsidP="007F05CB">
            <w:pPr>
              <w:suppressAutoHyphens/>
              <w:spacing w:before="120" w:after="0" w:line="360" w:lineRule="auto"/>
              <w:rPr>
                <w:rFonts w:ascii="Times New Roman" w:eastAsia="Times New Roman" w:hAnsi="Times New Roman" w:cs="Times New Roman"/>
                <w:b/>
                <w:sz w:val="34"/>
                <w:szCs w:val="40"/>
              </w:rPr>
            </w:pPr>
            <w:r w:rsidRPr="00B12661">
              <w:rPr>
                <w:rFonts w:ascii="Times New Roman" w:eastAsia="Times New Roman" w:hAnsi="Times New Roman" w:cs="Times New Roman"/>
                <w:b/>
                <w:sz w:val="34"/>
                <w:szCs w:val="40"/>
              </w:rPr>
              <w:t>Sözleşme</w:t>
            </w:r>
            <w:r w:rsidR="002D4922">
              <w:rPr>
                <w:rFonts w:ascii="Times New Roman" w:eastAsia="Times New Roman" w:hAnsi="Times New Roman" w:cs="Times New Roman"/>
                <w:b/>
                <w:sz w:val="34"/>
                <w:szCs w:val="40"/>
              </w:rPr>
              <w:t>si</w:t>
            </w:r>
          </w:p>
        </w:tc>
        <w:tc>
          <w:tcPr>
            <w:tcW w:w="280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0167DE" w:rsidRPr="00B12661" w:rsidRDefault="000167DE" w:rsidP="007F05C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167DE" w:rsidRPr="00B12661" w:rsidRDefault="000167DE" w:rsidP="007F05C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661">
              <w:rPr>
                <w:rFonts w:ascii="Times New Roman" w:eastAsia="Times New Roman" w:hAnsi="Times New Roman" w:cs="Times New Roman"/>
                <w:sz w:val="20"/>
                <w:szCs w:val="20"/>
              </w:rPr>
              <w:t>12 Nisan</w:t>
            </w:r>
            <w:r w:rsidRPr="00B126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2012</w:t>
            </w:r>
          </w:p>
          <w:p w:rsidR="000167DE" w:rsidRPr="00B12661" w:rsidRDefault="000167DE" w:rsidP="007F05C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661">
              <w:rPr>
                <w:rFonts w:ascii="Times New Roman" w:eastAsia="Times New Roman" w:hAnsi="Times New Roman" w:cs="Times New Roman"/>
                <w:sz w:val="20"/>
                <w:szCs w:val="20"/>
              </w:rPr>
              <w:t>Türkçe</w:t>
            </w:r>
          </w:p>
          <w:p w:rsidR="000167DE" w:rsidRPr="00B12661" w:rsidRDefault="000167DE" w:rsidP="007F05CB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126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Orijinali: </w:t>
            </w:r>
            <w:r w:rsidRPr="00B12661">
              <w:rPr>
                <w:rFonts w:ascii="Times New Roman" w:eastAsia="Times New Roman" w:hAnsi="Times New Roman" w:cs="Times New Roman"/>
                <w:sz w:val="20"/>
                <w:szCs w:val="20"/>
              </w:rPr>
              <w:t>İspanyolca</w:t>
            </w:r>
          </w:p>
        </w:tc>
      </w:tr>
    </w:tbl>
    <w:p w:rsidR="000167DE" w:rsidRPr="00B12661" w:rsidRDefault="000167DE" w:rsidP="007F05CB">
      <w:pPr>
        <w:spacing w:before="120" w:line="360" w:lineRule="auto"/>
        <w:rPr>
          <w:rFonts w:ascii="Times New Roman" w:hAnsi="Times New Roman" w:cs="Times New Roman"/>
        </w:rPr>
      </w:pPr>
      <w:r w:rsidRPr="00B12661">
        <w:rPr>
          <w:rFonts w:ascii="Times New Roman" w:hAnsi="Times New Roman" w:cs="Times New Roman"/>
          <w:b/>
          <w:sz w:val="24"/>
          <w:szCs w:val="24"/>
        </w:rPr>
        <w:t xml:space="preserve">Engelli Hakları Komitesi </w:t>
      </w:r>
      <w:r w:rsidRPr="00B12661">
        <w:rPr>
          <w:rFonts w:ascii="Times New Roman" w:hAnsi="Times New Roman" w:cs="Times New Roman"/>
          <w:b/>
          <w:sz w:val="24"/>
          <w:szCs w:val="24"/>
        </w:rPr>
        <w:br/>
      </w:r>
      <w:r w:rsidRPr="00B12661">
        <w:rPr>
          <w:rFonts w:ascii="Times New Roman" w:hAnsi="Times New Roman" w:cs="Times New Roman"/>
          <w:b/>
          <w:sz w:val="20"/>
          <w:szCs w:val="20"/>
        </w:rPr>
        <w:t>Beşinci Oturum</w:t>
      </w:r>
      <w:r w:rsidRPr="00B12661">
        <w:rPr>
          <w:rFonts w:ascii="Times New Roman" w:hAnsi="Times New Roman" w:cs="Times New Roman"/>
          <w:b/>
          <w:sz w:val="24"/>
          <w:szCs w:val="24"/>
        </w:rPr>
        <w:br/>
      </w:r>
      <w:r w:rsidRPr="00B12661">
        <w:rPr>
          <w:rFonts w:ascii="Times New Roman" w:hAnsi="Times New Roman" w:cs="Times New Roman"/>
        </w:rPr>
        <w:t>11–15 Nisan 2011</w:t>
      </w:r>
    </w:p>
    <w:p w:rsidR="000167DE" w:rsidRPr="00B12661" w:rsidRDefault="000167DE" w:rsidP="007F05CB">
      <w:pPr>
        <w:spacing w:before="120" w:line="360" w:lineRule="auto"/>
        <w:rPr>
          <w:rFonts w:ascii="Times New Roman" w:hAnsi="Times New Roman" w:cs="Times New Roman"/>
        </w:rPr>
      </w:pPr>
    </w:p>
    <w:p w:rsidR="000167DE" w:rsidRPr="00B12661" w:rsidRDefault="00153A40" w:rsidP="007F05CB">
      <w:pPr>
        <w:spacing w:before="120" w:line="360" w:lineRule="auto"/>
        <w:ind w:left="708"/>
        <w:rPr>
          <w:rFonts w:ascii="Times New Roman" w:hAnsi="Times New Roman" w:cs="Times New Roman"/>
          <w:b/>
          <w:sz w:val="28"/>
          <w:szCs w:val="28"/>
        </w:rPr>
      </w:pPr>
      <w:r w:rsidRPr="00B12661">
        <w:rPr>
          <w:rFonts w:ascii="Times New Roman" w:hAnsi="Times New Roman" w:cs="Times New Roman"/>
          <w:b/>
          <w:sz w:val="28"/>
          <w:szCs w:val="28"/>
        </w:rPr>
        <w:t xml:space="preserve">Sözleşmeye </w:t>
      </w:r>
      <w:r w:rsidRPr="00B12661">
        <w:rPr>
          <w:rFonts w:ascii="Times New Roman" w:hAnsi="Times New Roman" w:cs="Times New Roman"/>
          <w:b/>
          <w:sz w:val="28"/>
          <w:szCs w:val="28"/>
        </w:rPr>
        <w:t>Ek İhtiyari Protokol</w:t>
      </w:r>
      <w:r w:rsidRPr="00B12661">
        <w:rPr>
          <w:rFonts w:ascii="Times New Roman" w:hAnsi="Times New Roman" w:cs="Times New Roman"/>
          <w:b/>
          <w:sz w:val="28"/>
          <w:szCs w:val="28"/>
        </w:rPr>
        <w:t xml:space="preserve"> dahilinde, </w:t>
      </w:r>
      <w:r w:rsidRPr="00B12661">
        <w:rPr>
          <w:rFonts w:ascii="Times New Roman" w:hAnsi="Times New Roman" w:cs="Times New Roman"/>
          <w:b/>
          <w:sz w:val="28"/>
          <w:szCs w:val="28"/>
        </w:rPr>
        <w:br/>
      </w:r>
      <w:r w:rsidR="000167DE" w:rsidRPr="00B12661">
        <w:rPr>
          <w:rFonts w:ascii="Times New Roman" w:hAnsi="Times New Roman" w:cs="Times New Roman"/>
          <w:b/>
          <w:sz w:val="28"/>
          <w:szCs w:val="28"/>
        </w:rPr>
        <w:t>Engelli Hakları Komitesi’</w:t>
      </w:r>
      <w:r w:rsidRPr="00B12661">
        <w:rPr>
          <w:rFonts w:ascii="Times New Roman" w:hAnsi="Times New Roman" w:cs="Times New Roman"/>
          <w:b/>
          <w:sz w:val="28"/>
          <w:szCs w:val="28"/>
        </w:rPr>
        <w:t xml:space="preserve">ne </w:t>
      </w:r>
      <w:r w:rsidR="000167DE" w:rsidRPr="00B12661">
        <w:rPr>
          <w:rFonts w:ascii="Times New Roman" w:hAnsi="Times New Roman" w:cs="Times New Roman"/>
          <w:b/>
          <w:sz w:val="28"/>
          <w:szCs w:val="28"/>
        </w:rPr>
        <w:t xml:space="preserve">yapılacak bireysel başvurular </w:t>
      </w:r>
      <w:r w:rsidRPr="00B12661">
        <w:rPr>
          <w:rFonts w:ascii="Times New Roman" w:hAnsi="Times New Roman" w:cs="Times New Roman"/>
          <w:b/>
          <w:sz w:val="28"/>
          <w:szCs w:val="28"/>
        </w:rPr>
        <w:br/>
        <w:t>üzerine bilgi notu</w:t>
      </w:r>
    </w:p>
    <w:p w:rsidR="001C7EB5" w:rsidRPr="00805CF8" w:rsidRDefault="001C7EB5" w:rsidP="007F05CB">
      <w:pPr>
        <w:pStyle w:val="SingleTxtG"/>
        <w:numPr>
          <w:ilvl w:val="0"/>
          <w:numId w:val="1"/>
        </w:numPr>
        <w:spacing w:line="360" w:lineRule="auto"/>
        <w:rPr>
          <w:lang w:val="tr-TR"/>
        </w:rPr>
      </w:pPr>
      <w:r w:rsidRPr="00B12661">
        <w:rPr>
          <w:lang w:val="tr-TR"/>
        </w:rPr>
        <w:t xml:space="preserve">Engelli </w:t>
      </w:r>
      <w:r w:rsidR="00295184">
        <w:rPr>
          <w:lang w:val="tr-TR"/>
        </w:rPr>
        <w:t xml:space="preserve">Kişilerin </w:t>
      </w:r>
      <w:r w:rsidRPr="00B12661">
        <w:rPr>
          <w:lang w:val="tr-TR"/>
        </w:rPr>
        <w:t xml:space="preserve">Hakları Sözleşmesi Ek </w:t>
      </w:r>
      <w:r w:rsidRPr="00B12661">
        <w:rPr>
          <w:lang w:val="tr-TR"/>
        </w:rPr>
        <w:t xml:space="preserve">İhtiyari </w:t>
      </w:r>
      <w:r w:rsidRPr="00B12661">
        <w:rPr>
          <w:lang w:val="tr-TR"/>
        </w:rPr>
        <w:t>Protokolü</w:t>
      </w:r>
      <w:r w:rsidRPr="00B12661">
        <w:rPr>
          <w:lang w:val="tr-TR"/>
        </w:rPr>
        <w:t>,</w:t>
      </w:r>
      <w:r w:rsidRPr="00B12661">
        <w:rPr>
          <w:lang w:val="tr-TR"/>
        </w:rPr>
        <w:t xml:space="preserve"> 3 Mayıs 2008 tarihinde yürürlüğe girmiştir. Protok</w:t>
      </w:r>
      <w:r w:rsidRPr="00B12661">
        <w:rPr>
          <w:lang w:val="tr-TR"/>
        </w:rPr>
        <w:t>ol, bağımsız uzmanlardan oluşan bir</w:t>
      </w:r>
      <w:r w:rsidRPr="00B12661">
        <w:rPr>
          <w:lang w:val="tr-TR"/>
        </w:rPr>
        <w:t xml:space="preserve"> kurul olan Engelli Hakları </w:t>
      </w:r>
      <w:r w:rsidRPr="007E6B13">
        <w:rPr>
          <w:lang w:val="tr-TR"/>
        </w:rPr>
        <w:t>Komitesi’nin, Sözleşme ile tanınmış ve koruma altına alınmış hakl</w:t>
      </w:r>
      <w:r w:rsidRPr="007E6B13">
        <w:rPr>
          <w:lang w:val="tr-TR"/>
        </w:rPr>
        <w:t xml:space="preserve">arın ihlale uğradığını iddia eden </w:t>
      </w:r>
      <w:r w:rsidRPr="007E6B13">
        <w:rPr>
          <w:lang w:val="tr-TR"/>
        </w:rPr>
        <w:t>birey</w:t>
      </w:r>
      <w:r w:rsidR="00E42A5C">
        <w:rPr>
          <w:lang w:val="tr-TR"/>
        </w:rPr>
        <w:t>ler veya birden çok birey gruplarından</w:t>
      </w:r>
      <w:r w:rsidRPr="007E6B13">
        <w:rPr>
          <w:lang w:val="tr-TR"/>
        </w:rPr>
        <w:t xml:space="preserve"> </w:t>
      </w:r>
      <w:r w:rsidRPr="007E6B13">
        <w:rPr>
          <w:lang w:val="tr-TR"/>
        </w:rPr>
        <w:t xml:space="preserve">gelen </w:t>
      </w:r>
      <w:r w:rsidRPr="007E6B13">
        <w:rPr>
          <w:lang w:val="tr-TR"/>
        </w:rPr>
        <w:t>ya da</w:t>
      </w:r>
      <w:r w:rsidRPr="007E6B13">
        <w:rPr>
          <w:lang w:val="tr-TR"/>
        </w:rPr>
        <w:t xml:space="preserve"> onlar adına yapılan başvuruları </w:t>
      </w:r>
      <w:r w:rsidR="00B12661" w:rsidRPr="007E6B13">
        <w:rPr>
          <w:lang w:val="tr-TR"/>
        </w:rPr>
        <w:t>kabul etme</w:t>
      </w:r>
      <w:r w:rsidRPr="007E6B13">
        <w:rPr>
          <w:lang w:val="tr-TR"/>
        </w:rPr>
        <w:t xml:space="preserve"> ve </w:t>
      </w:r>
      <w:r w:rsidRPr="00805CF8">
        <w:rPr>
          <w:lang w:val="tr-TR"/>
        </w:rPr>
        <w:t xml:space="preserve">değerlendirme yetkisini tanımaktadır. </w:t>
      </w:r>
    </w:p>
    <w:p w:rsidR="00B12661" w:rsidRPr="00805CF8" w:rsidRDefault="00B12661" w:rsidP="007F05CB">
      <w:pPr>
        <w:pStyle w:val="SingleTxtG"/>
        <w:numPr>
          <w:ilvl w:val="0"/>
          <w:numId w:val="1"/>
        </w:numPr>
        <w:spacing w:line="360" w:lineRule="auto"/>
        <w:rPr>
          <w:lang w:val="tr-TR"/>
        </w:rPr>
      </w:pPr>
      <w:r w:rsidRPr="00805CF8">
        <w:rPr>
          <w:lang w:val="tr-TR"/>
        </w:rPr>
        <w:t>Sözleşmeye ve Ek</w:t>
      </w:r>
      <w:r w:rsidRPr="00805CF8">
        <w:rPr>
          <w:lang w:val="tr-TR"/>
        </w:rPr>
        <w:t xml:space="preserve"> İhtiyari</w:t>
      </w:r>
      <w:r w:rsidRPr="00805CF8">
        <w:rPr>
          <w:lang w:val="tr-TR"/>
        </w:rPr>
        <w:t xml:space="preserve"> Protokol</w:t>
      </w:r>
      <w:r w:rsidRPr="00805CF8">
        <w:rPr>
          <w:lang w:val="tr-TR"/>
        </w:rPr>
        <w:t>’</w:t>
      </w:r>
      <w:r w:rsidRPr="00805CF8">
        <w:rPr>
          <w:lang w:val="tr-TR"/>
        </w:rPr>
        <w:t>e Taraf olan</w:t>
      </w:r>
      <w:r w:rsidR="00B835CE" w:rsidRPr="00805CF8">
        <w:rPr>
          <w:lang w:val="tr-TR"/>
        </w:rPr>
        <w:t xml:space="preserve"> devletlerin yetki sınırları içinde </w:t>
      </w:r>
      <w:r w:rsidRPr="00805CF8">
        <w:rPr>
          <w:lang w:val="tr-TR"/>
        </w:rPr>
        <w:t>bulunan b</w:t>
      </w:r>
      <w:r w:rsidR="00530BF0" w:rsidRPr="00805CF8">
        <w:rPr>
          <w:lang w:val="tr-TR"/>
        </w:rPr>
        <w:t>irey</w:t>
      </w:r>
      <w:r w:rsidRPr="00805CF8">
        <w:rPr>
          <w:lang w:val="tr-TR"/>
        </w:rPr>
        <w:t xml:space="preserve"> veya </w:t>
      </w:r>
      <w:r w:rsidR="00E42A5C">
        <w:rPr>
          <w:lang w:val="tr-TR"/>
        </w:rPr>
        <w:t>birey gruplarından</w:t>
      </w:r>
      <w:r w:rsidR="00530BF0" w:rsidRPr="00805CF8">
        <w:rPr>
          <w:lang w:val="tr-TR"/>
        </w:rPr>
        <w:t xml:space="preserve"> </w:t>
      </w:r>
      <w:r w:rsidRPr="00805CF8">
        <w:rPr>
          <w:lang w:val="tr-TR"/>
        </w:rPr>
        <w:t>gelen</w:t>
      </w:r>
      <w:r w:rsidR="00796A9E">
        <w:rPr>
          <w:lang w:val="tr-TR"/>
        </w:rPr>
        <w:t>,</w:t>
      </w:r>
      <w:bookmarkStart w:id="0" w:name="_GoBack"/>
      <w:bookmarkEnd w:id="0"/>
      <w:r w:rsidRPr="00805CF8">
        <w:rPr>
          <w:lang w:val="tr-TR"/>
        </w:rPr>
        <w:t xml:space="preserve"> ya da onlar adına yapılmış olan başvurular</w:t>
      </w:r>
      <w:r w:rsidR="007E6B13" w:rsidRPr="00805CF8">
        <w:rPr>
          <w:lang w:val="tr-TR"/>
        </w:rPr>
        <w:t>,</w:t>
      </w:r>
      <w:r w:rsidRPr="00805CF8">
        <w:rPr>
          <w:lang w:val="tr-TR"/>
        </w:rPr>
        <w:t xml:space="preserve"> Ek </w:t>
      </w:r>
      <w:r w:rsidR="007E6B13" w:rsidRPr="00805CF8">
        <w:rPr>
          <w:lang w:val="tr-TR"/>
        </w:rPr>
        <w:t xml:space="preserve">İhtiyari </w:t>
      </w:r>
      <w:r w:rsidRPr="00805CF8">
        <w:rPr>
          <w:lang w:val="tr-TR"/>
        </w:rPr>
        <w:t>Protokolün 1 ve 2. Maddelerindeki hükümlere ve</w:t>
      </w:r>
      <w:r w:rsidR="008B740C" w:rsidRPr="00805CF8">
        <w:rPr>
          <w:lang w:val="tr-TR"/>
        </w:rPr>
        <w:t xml:space="preserve"> Komite’nin İç Tüzüğü’nün</w:t>
      </w:r>
      <w:r w:rsidRPr="00805CF8">
        <w:rPr>
          <w:lang w:val="tr-TR"/>
        </w:rPr>
        <w:t xml:space="preserve"> 55.</w:t>
      </w:r>
      <w:r w:rsidR="008B740C" w:rsidRPr="00805CF8">
        <w:rPr>
          <w:lang w:val="tr-TR"/>
        </w:rPr>
        <w:t xml:space="preserve"> </w:t>
      </w:r>
      <w:r w:rsidRPr="00805CF8">
        <w:rPr>
          <w:lang w:val="tr-TR"/>
        </w:rPr>
        <w:t>madde ve sonrasında</w:t>
      </w:r>
      <w:r w:rsidR="008B740C" w:rsidRPr="00805CF8">
        <w:rPr>
          <w:lang w:val="tr-TR"/>
        </w:rPr>
        <w:t xml:space="preserve"> yer alan maddeleri</w:t>
      </w:r>
      <w:r w:rsidR="00A74590" w:rsidRPr="00805CF8">
        <w:rPr>
          <w:lang w:val="tr-TR"/>
        </w:rPr>
        <w:t>n</w:t>
      </w:r>
      <w:r w:rsidR="008B740C" w:rsidRPr="00805CF8">
        <w:rPr>
          <w:lang w:val="tr-TR"/>
        </w:rPr>
        <w:t>e tabi</w:t>
      </w:r>
      <w:r w:rsidRPr="00805CF8">
        <w:rPr>
          <w:lang w:val="tr-TR"/>
        </w:rPr>
        <w:t>di</w:t>
      </w:r>
      <w:r w:rsidR="008B740C" w:rsidRPr="00805CF8">
        <w:rPr>
          <w:lang w:val="tr-TR"/>
        </w:rPr>
        <w:t xml:space="preserve">r. </w:t>
      </w:r>
    </w:p>
    <w:p w:rsidR="00805CF8" w:rsidRPr="00052E94" w:rsidRDefault="00805CF8" w:rsidP="007F05CB">
      <w:pPr>
        <w:pStyle w:val="SingleTxtG"/>
        <w:numPr>
          <w:ilvl w:val="0"/>
          <w:numId w:val="1"/>
        </w:numPr>
        <w:spacing w:line="360" w:lineRule="auto"/>
        <w:rPr>
          <w:lang w:val="tr-TR"/>
        </w:rPr>
      </w:pPr>
      <w:r w:rsidRPr="00805CF8">
        <w:rPr>
          <w:lang w:val="tr-TR"/>
        </w:rPr>
        <w:t xml:space="preserve">Ek </w:t>
      </w:r>
      <w:r w:rsidRPr="00805CF8">
        <w:rPr>
          <w:lang w:val="tr-TR"/>
        </w:rPr>
        <w:t xml:space="preserve">İhtiyari </w:t>
      </w:r>
      <w:r w:rsidRPr="00805CF8">
        <w:rPr>
          <w:lang w:val="tr-TR"/>
        </w:rPr>
        <w:t>Protokol</w:t>
      </w:r>
      <w:r w:rsidRPr="00805CF8">
        <w:rPr>
          <w:lang w:val="tr-TR"/>
        </w:rPr>
        <w:t>’ün</w:t>
      </w:r>
      <w:r w:rsidRPr="00805CF8">
        <w:rPr>
          <w:lang w:val="tr-TR"/>
        </w:rPr>
        <w:t xml:space="preserve"> 1.</w:t>
      </w:r>
      <w:r w:rsidRPr="00805CF8">
        <w:rPr>
          <w:lang w:val="tr-TR"/>
        </w:rPr>
        <w:t xml:space="preserve"> M</w:t>
      </w:r>
      <w:r w:rsidRPr="00805CF8">
        <w:rPr>
          <w:lang w:val="tr-TR"/>
        </w:rPr>
        <w:t>adde</w:t>
      </w:r>
      <w:r w:rsidRPr="00805CF8">
        <w:rPr>
          <w:lang w:val="tr-TR"/>
        </w:rPr>
        <w:t xml:space="preserve">sinin 2. fıkrası ile </w:t>
      </w:r>
      <w:r w:rsidRPr="00805CF8">
        <w:rPr>
          <w:lang w:val="tr-TR"/>
        </w:rPr>
        <w:t>Komite’nin İç Tüzüğü’nün 55.</w:t>
      </w:r>
      <w:r w:rsidRPr="00805CF8">
        <w:rPr>
          <w:lang w:val="tr-TR"/>
        </w:rPr>
        <w:t xml:space="preserve"> M</w:t>
      </w:r>
      <w:r w:rsidRPr="00805CF8">
        <w:rPr>
          <w:lang w:val="tr-TR"/>
        </w:rPr>
        <w:t>adde</w:t>
      </w:r>
      <w:r w:rsidRPr="00805CF8">
        <w:rPr>
          <w:lang w:val="tr-TR"/>
        </w:rPr>
        <w:t>sinin 4. fıkrasına</w:t>
      </w:r>
      <w:r w:rsidRPr="00805CF8">
        <w:rPr>
          <w:lang w:val="tr-TR"/>
        </w:rPr>
        <w:t xml:space="preserve"> göre</w:t>
      </w:r>
      <w:r w:rsidRPr="00805CF8">
        <w:rPr>
          <w:lang w:val="tr-TR"/>
        </w:rPr>
        <w:t>,</w:t>
      </w:r>
      <w:r w:rsidRPr="00805CF8">
        <w:rPr>
          <w:lang w:val="tr-TR"/>
        </w:rPr>
        <w:t xml:space="preserve"> Sözleşme’ye Taraf</w:t>
      </w:r>
      <w:r>
        <w:rPr>
          <w:lang w:val="tr-TR"/>
        </w:rPr>
        <w:t xml:space="preserve"> olup, </w:t>
      </w:r>
      <w:r w:rsidRPr="00805CF8">
        <w:rPr>
          <w:lang w:val="tr-TR"/>
        </w:rPr>
        <w:t xml:space="preserve">Ek </w:t>
      </w:r>
      <w:r>
        <w:rPr>
          <w:lang w:val="tr-TR"/>
        </w:rPr>
        <w:t xml:space="preserve">İhtiyari </w:t>
      </w:r>
      <w:r w:rsidRPr="00805CF8">
        <w:rPr>
          <w:lang w:val="tr-TR"/>
        </w:rPr>
        <w:t>Protokol</w:t>
      </w:r>
      <w:r>
        <w:rPr>
          <w:lang w:val="tr-TR"/>
        </w:rPr>
        <w:t>’</w:t>
      </w:r>
      <w:r w:rsidRPr="00805CF8">
        <w:rPr>
          <w:lang w:val="tr-TR"/>
        </w:rPr>
        <w:t xml:space="preserve">e </w:t>
      </w:r>
      <w:r>
        <w:rPr>
          <w:lang w:val="tr-TR"/>
        </w:rPr>
        <w:t>t</w:t>
      </w:r>
      <w:r w:rsidRPr="00805CF8">
        <w:rPr>
          <w:lang w:val="tr-TR"/>
        </w:rPr>
        <w:t xml:space="preserve">araf olmayan </w:t>
      </w:r>
      <w:r w:rsidRPr="00052E94">
        <w:rPr>
          <w:lang w:val="tr-TR"/>
        </w:rPr>
        <w:t xml:space="preserve">hiç bir devletten gelen başvurular </w:t>
      </w:r>
      <w:r w:rsidRPr="00052E94">
        <w:rPr>
          <w:lang w:val="tr-TR"/>
        </w:rPr>
        <w:t>kabul edilemez</w:t>
      </w:r>
      <w:r w:rsidRPr="00052E94">
        <w:rPr>
          <w:lang w:val="tr-TR"/>
        </w:rPr>
        <w:t xml:space="preserve">.  </w:t>
      </w:r>
    </w:p>
    <w:p w:rsidR="00BC018B" w:rsidRPr="00052E94" w:rsidRDefault="00BC018B" w:rsidP="007F05CB">
      <w:pPr>
        <w:pStyle w:val="SingleTxtG"/>
        <w:numPr>
          <w:ilvl w:val="0"/>
          <w:numId w:val="1"/>
        </w:numPr>
        <w:spacing w:line="360" w:lineRule="auto"/>
        <w:rPr>
          <w:lang w:val="tr-TR"/>
        </w:rPr>
      </w:pPr>
      <w:r w:rsidRPr="00052E94">
        <w:rPr>
          <w:lang w:val="tr-TR"/>
        </w:rPr>
        <w:t>55.</w:t>
      </w:r>
      <w:r w:rsidRPr="00052E94">
        <w:rPr>
          <w:lang w:val="tr-TR"/>
        </w:rPr>
        <w:t xml:space="preserve"> M</w:t>
      </w:r>
      <w:r w:rsidRPr="00052E94">
        <w:rPr>
          <w:lang w:val="tr-TR"/>
        </w:rPr>
        <w:t>adde</w:t>
      </w:r>
      <w:r w:rsidRPr="00052E94">
        <w:rPr>
          <w:lang w:val="tr-TR"/>
        </w:rPr>
        <w:t>nin 3. fıkrası</w:t>
      </w:r>
      <w:r w:rsidRPr="00052E94">
        <w:rPr>
          <w:lang w:val="tr-TR"/>
        </w:rPr>
        <w:t>, Komite’nin İç Tüzüğü’nün 24.</w:t>
      </w:r>
      <w:r w:rsidRPr="00052E94">
        <w:rPr>
          <w:lang w:val="tr-TR"/>
        </w:rPr>
        <w:t xml:space="preserve"> </w:t>
      </w:r>
      <w:r w:rsidRPr="00052E94">
        <w:rPr>
          <w:lang w:val="tr-TR"/>
        </w:rPr>
        <w:t>Maddesi ile birlikte değerlendirildiğinde</w:t>
      </w:r>
      <w:r w:rsidRPr="00052E94">
        <w:rPr>
          <w:lang w:val="tr-TR"/>
        </w:rPr>
        <w:t>,</w:t>
      </w:r>
      <w:r w:rsidRPr="00052E94">
        <w:rPr>
          <w:lang w:val="tr-TR"/>
        </w:rPr>
        <w:t xml:space="preserve"> başvurular yazılı olarak veya Taraf</w:t>
      </w:r>
      <w:r w:rsidR="00B81D3D" w:rsidRPr="00052E94">
        <w:rPr>
          <w:lang w:val="tr-TR"/>
        </w:rPr>
        <w:t xml:space="preserve"> D</w:t>
      </w:r>
      <w:r w:rsidRPr="00052E94">
        <w:rPr>
          <w:lang w:val="tr-TR"/>
        </w:rPr>
        <w:t>evlet</w:t>
      </w:r>
      <w:r w:rsidR="00B81D3D" w:rsidRPr="00052E94">
        <w:rPr>
          <w:lang w:val="tr-TR"/>
        </w:rPr>
        <w:t>’</w:t>
      </w:r>
      <w:r w:rsidRPr="00052E94">
        <w:rPr>
          <w:lang w:val="tr-TR"/>
        </w:rPr>
        <w:t xml:space="preserve">e </w:t>
      </w:r>
      <w:r w:rsidR="00F33E3A" w:rsidRPr="00052E94">
        <w:rPr>
          <w:lang w:val="tr-TR"/>
        </w:rPr>
        <w:t>o</w:t>
      </w:r>
      <w:r w:rsidRPr="00052E94">
        <w:rPr>
          <w:lang w:val="tr-TR"/>
        </w:rPr>
        <w:t>kunaklı bir</w:t>
      </w:r>
      <w:r w:rsidR="00F33E3A" w:rsidRPr="00052E94">
        <w:rPr>
          <w:lang w:val="tr-TR"/>
        </w:rPr>
        <w:t xml:space="preserve"> kopyasının iletilebileceği alternatif bir formatta sunulmalıdır. </w:t>
      </w:r>
      <w:r w:rsidRPr="00052E94">
        <w:rPr>
          <w:lang w:val="tr-TR"/>
        </w:rPr>
        <w:t xml:space="preserve"> </w:t>
      </w:r>
    </w:p>
    <w:p w:rsidR="00052E94" w:rsidRPr="00052E94" w:rsidRDefault="00052E94" w:rsidP="007F05CB">
      <w:pPr>
        <w:pStyle w:val="SingleTxtG"/>
        <w:numPr>
          <w:ilvl w:val="0"/>
          <w:numId w:val="1"/>
        </w:numPr>
        <w:spacing w:line="360" w:lineRule="auto"/>
        <w:rPr>
          <w:lang w:val="tr-TR"/>
        </w:rPr>
      </w:pPr>
      <w:r w:rsidRPr="00052E94">
        <w:rPr>
          <w:lang w:val="tr-TR"/>
        </w:rPr>
        <w:t xml:space="preserve">Tüm </w:t>
      </w:r>
      <w:r>
        <w:rPr>
          <w:lang w:val="tr-TR"/>
        </w:rPr>
        <w:t>başvurular Sekreterya’nın resmi</w:t>
      </w:r>
      <w:r w:rsidRPr="00052E94">
        <w:rPr>
          <w:lang w:val="tr-TR"/>
        </w:rPr>
        <w:t xml:space="preserve"> dilleri olan İngilizce, Fransızca, Rusça ve İspanyolca</w:t>
      </w:r>
      <w:r>
        <w:rPr>
          <w:lang w:val="tr-TR"/>
        </w:rPr>
        <w:t>’</w:t>
      </w:r>
      <w:r w:rsidRPr="00052E94">
        <w:rPr>
          <w:lang w:val="tr-TR"/>
        </w:rPr>
        <w:t>dan biri ile yapılmalıdır.</w:t>
      </w:r>
    </w:p>
    <w:p w:rsidR="00964594" w:rsidRPr="009E0C2A" w:rsidRDefault="00964594" w:rsidP="007F05CB">
      <w:pPr>
        <w:pStyle w:val="SingleTxtG"/>
        <w:numPr>
          <w:ilvl w:val="0"/>
          <w:numId w:val="1"/>
        </w:numPr>
        <w:spacing w:line="360" w:lineRule="auto"/>
        <w:rPr>
          <w:lang w:val="tr-TR"/>
        </w:rPr>
      </w:pPr>
      <w:r w:rsidRPr="00052E94">
        <w:rPr>
          <w:lang w:val="tr-TR"/>
        </w:rPr>
        <w:t>Komite</w:t>
      </w:r>
      <w:r w:rsidR="00B34F95">
        <w:rPr>
          <w:lang w:val="tr-TR"/>
        </w:rPr>
        <w:t xml:space="preserve">, </w:t>
      </w:r>
      <w:r w:rsidRPr="00052E94">
        <w:rPr>
          <w:lang w:val="tr-TR"/>
        </w:rPr>
        <w:t xml:space="preserve">İç Tüzüğü’nün </w:t>
      </w:r>
      <w:r w:rsidRPr="00964594">
        <w:rPr>
          <w:lang w:val="tr-TR"/>
        </w:rPr>
        <w:t>68.</w:t>
      </w:r>
      <w:r>
        <w:rPr>
          <w:lang w:val="tr-TR"/>
        </w:rPr>
        <w:t xml:space="preserve"> M</w:t>
      </w:r>
      <w:r w:rsidRPr="00964594">
        <w:rPr>
          <w:lang w:val="tr-TR"/>
        </w:rPr>
        <w:t>adde</w:t>
      </w:r>
      <w:r>
        <w:rPr>
          <w:lang w:val="tr-TR"/>
        </w:rPr>
        <w:t>sinin 2. fıkrası</w:t>
      </w:r>
      <w:r w:rsidRPr="00964594">
        <w:rPr>
          <w:lang w:val="tr-TR"/>
        </w:rPr>
        <w:t xml:space="preserve"> dahilinde</w:t>
      </w:r>
      <w:r w:rsidR="00B34F95">
        <w:rPr>
          <w:lang w:val="tr-TR"/>
        </w:rPr>
        <w:t>,</w:t>
      </w:r>
      <w:r w:rsidRPr="00964594">
        <w:rPr>
          <w:lang w:val="tr-TR"/>
        </w:rPr>
        <w:t xml:space="preserve"> başvuruyu </w:t>
      </w:r>
      <w:r w:rsidR="00B34F95">
        <w:rPr>
          <w:lang w:val="tr-TR"/>
        </w:rPr>
        <w:t xml:space="preserve">yapan kişi </w:t>
      </w:r>
      <w:r w:rsidRPr="00964594">
        <w:rPr>
          <w:lang w:val="tr-TR"/>
        </w:rPr>
        <w:t xml:space="preserve">veya mağdur </w:t>
      </w:r>
      <w:r w:rsidR="00B34F95" w:rsidRPr="00964594">
        <w:rPr>
          <w:lang w:val="tr-TR"/>
        </w:rPr>
        <w:t>olduğunu</w:t>
      </w:r>
      <w:r w:rsidRPr="00964594">
        <w:rPr>
          <w:lang w:val="tr-TR"/>
        </w:rPr>
        <w:t xml:space="preserve"> iddia eden kişinin yasal kapasitesini, bu kapasitenin başvurunun </w:t>
      </w:r>
      <w:r w:rsidR="008D04DB">
        <w:rPr>
          <w:lang w:val="tr-TR"/>
        </w:rPr>
        <w:t>yöneltildiği Taraf Devletçe</w:t>
      </w:r>
      <w:r w:rsidRPr="00964594">
        <w:rPr>
          <w:lang w:val="tr-TR"/>
        </w:rPr>
        <w:t xml:space="preserve"> tanınıp tanınmadığı dikkate alınmaksızın</w:t>
      </w:r>
      <w:r w:rsidR="003772A3">
        <w:rPr>
          <w:lang w:val="tr-TR"/>
        </w:rPr>
        <w:t>,</w:t>
      </w:r>
      <w:r w:rsidRPr="00964594">
        <w:rPr>
          <w:lang w:val="tr-TR"/>
        </w:rPr>
        <w:t xml:space="preserve"> Sözleşmenin 12. </w:t>
      </w:r>
      <w:r w:rsidRPr="009E0C2A">
        <w:rPr>
          <w:lang w:val="tr-TR"/>
        </w:rPr>
        <w:t xml:space="preserve">Maddesinde yer alan standartlar uygulayarak tanır. </w:t>
      </w:r>
    </w:p>
    <w:p w:rsidR="009E0C2A" w:rsidRPr="007C2179" w:rsidRDefault="009E0C2A" w:rsidP="007F05CB">
      <w:pPr>
        <w:pStyle w:val="SingleTxtG"/>
        <w:numPr>
          <w:ilvl w:val="0"/>
          <w:numId w:val="1"/>
        </w:numPr>
        <w:spacing w:line="360" w:lineRule="auto"/>
        <w:rPr>
          <w:lang w:val="tr-TR"/>
        </w:rPr>
      </w:pPr>
      <w:r w:rsidRPr="009E0C2A">
        <w:rPr>
          <w:lang w:val="tr-TR"/>
        </w:rPr>
        <w:t xml:space="preserve">Komite mağdur olduğunu iddia eden(ler) veya onların adına başvuru yapma yetkisini bulunduran (lütfen yetkilendirme onayını gönderin, imzalı bir beyan yeterli olacaktır) </w:t>
      </w:r>
      <w:r w:rsidRPr="009E0C2A">
        <w:rPr>
          <w:lang w:val="tr-TR"/>
        </w:rPr>
        <w:lastRenderedPageBreak/>
        <w:t>kişilerden gelen başvuruları değerlendirir. Bireyler veya birey grupları adına başvuru yapan kişi</w:t>
      </w:r>
      <w:r>
        <w:rPr>
          <w:lang w:val="tr-TR"/>
        </w:rPr>
        <w:t>,</w:t>
      </w:r>
      <w:r w:rsidRPr="009E0C2A">
        <w:rPr>
          <w:lang w:val="tr-TR"/>
        </w:rPr>
        <w:t xml:space="preserve"> </w:t>
      </w:r>
      <w:r w:rsidRPr="007C2179">
        <w:rPr>
          <w:lang w:val="tr-TR"/>
        </w:rPr>
        <w:t>onay aldığına dair kanıt sunamaz ise</w:t>
      </w:r>
      <w:r w:rsidRPr="007C2179">
        <w:rPr>
          <w:lang w:val="tr-TR"/>
        </w:rPr>
        <w:t>,</w:t>
      </w:r>
      <w:r w:rsidRPr="007C2179">
        <w:rPr>
          <w:lang w:val="tr-TR"/>
        </w:rPr>
        <w:t xml:space="preserve"> ma</w:t>
      </w:r>
      <w:r w:rsidRPr="007C2179">
        <w:rPr>
          <w:lang w:val="tr-TR"/>
        </w:rPr>
        <w:t>ğdur olduğunu iddia eden kişinin</w:t>
      </w:r>
      <w:r w:rsidRPr="007C2179">
        <w:rPr>
          <w:lang w:val="tr-TR"/>
        </w:rPr>
        <w:t xml:space="preserve">(lerin) neden </w:t>
      </w:r>
      <w:r w:rsidRPr="007C2179">
        <w:rPr>
          <w:lang w:val="tr-TR"/>
        </w:rPr>
        <w:t xml:space="preserve">başvuruyu kendi sunamadığını </w:t>
      </w:r>
      <w:r w:rsidRPr="007C2179">
        <w:rPr>
          <w:lang w:val="tr-TR"/>
        </w:rPr>
        <w:t xml:space="preserve">ve neden yetkilendirme onayı </w:t>
      </w:r>
      <w:r w:rsidRPr="007C2179">
        <w:rPr>
          <w:lang w:val="tr-TR"/>
        </w:rPr>
        <w:t>veremediğine</w:t>
      </w:r>
      <w:r w:rsidRPr="007C2179">
        <w:rPr>
          <w:lang w:val="tr-TR"/>
        </w:rPr>
        <w:t xml:space="preserve"> dair yazılı bir açıklama sunmalıdır. </w:t>
      </w:r>
    </w:p>
    <w:p w:rsidR="00825202" w:rsidRPr="00AD0B00" w:rsidRDefault="00825202" w:rsidP="007F05CB">
      <w:pPr>
        <w:pStyle w:val="SingleTxtG"/>
        <w:numPr>
          <w:ilvl w:val="0"/>
          <w:numId w:val="1"/>
        </w:numPr>
        <w:spacing w:line="360" w:lineRule="auto"/>
        <w:rPr>
          <w:lang w:val="tr-TR"/>
        </w:rPr>
      </w:pPr>
      <w:r w:rsidRPr="007C2179">
        <w:rPr>
          <w:lang w:val="tr-TR"/>
        </w:rPr>
        <w:t>Ek</w:t>
      </w:r>
      <w:r w:rsidRPr="007C2179">
        <w:rPr>
          <w:lang w:val="tr-TR"/>
        </w:rPr>
        <w:t xml:space="preserve"> </w:t>
      </w:r>
      <w:r w:rsidRPr="00AD0B00">
        <w:rPr>
          <w:lang w:val="tr-TR"/>
        </w:rPr>
        <w:t>İhtiyari</w:t>
      </w:r>
      <w:r w:rsidRPr="00AD0B00">
        <w:rPr>
          <w:lang w:val="tr-TR"/>
        </w:rPr>
        <w:t xml:space="preserve"> Protokol</w:t>
      </w:r>
      <w:r w:rsidRPr="00AD0B00">
        <w:rPr>
          <w:lang w:val="tr-TR"/>
        </w:rPr>
        <w:t>’ün</w:t>
      </w:r>
      <w:r w:rsidRPr="00AD0B00">
        <w:rPr>
          <w:lang w:val="tr-TR"/>
        </w:rPr>
        <w:t xml:space="preserve"> 2.</w:t>
      </w:r>
      <w:r w:rsidRPr="00AD0B00">
        <w:rPr>
          <w:lang w:val="tr-TR"/>
        </w:rPr>
        <w:t xml:space="preserve"> M</w:t>
      </w:r>
      <w:r w:rsidRPr="00AD0B00">
        <w:rPr>
          <w:lang w:val="tr-TR"/>
        </w:rPr>
        <w:t>addesine göre, Komite</w:t>
      </w:r>
      <w:r w:rsidR="007C2179" w:rsidRPr="00AD0B00">
        <w:rPr>
          <w:lang w:val="tr-TR"/>
        </w:rPr>
        <w:t>,</w:t>
      </w:r>
      <w:r w:rsidRPr="00AD0B00">
        <w:rPr>
          <w:lang w:val="tr-TR"/>
        </w:rPr>
        <w:t xml:space="preserve"> aşağıdaki şartlar altında başvuruyu </w:t>
      </w:r>
      <w:r w:rsidR="007C2179" w:rsidRPr="00AD0B00">
        <w:rPr>
          <w:lang w:val="tr-TR"/>
        </w:rPr>
        <w:t>kabul edilemez bulabilir</w:t>
      </w:r>
      <w:r w:rsidRPr="00AD0B00">
        <w:rPr>
          <w:lang w:val="tr-TR"/>
        </w:rPr>
        <w:t>.</w:t>
      </w:r>
    </w:p>
    <w:p w:rsidR="007C2179" w:rsidRPr="00AD0B00" w:rsidRDefault="007C2179" w:rsidP="007F05CB">
      <w:pPr>
        <w:pStyle w:val="SingleTxtG"/>
        <w:numPr>
          <w:ilvl w:val="1"/>
          <w:numId w:val="1"/>
        </w:numPr>
        <w:spacing w:line="360" w:lineRule="auto"/>
        <w:rPr>
          <w:lang w:val="tr-TR"/>
        </w:rPr>
      </w:pPr>
      <w:r w:rsidRPr="00AD0B00">
        <w:rPr>
          <w:lang w:val="tr-TR"/>
        </w:rPr>
        <w:t>Başvuru anonim olarak yapıldıysa</w:t>
      </w:r>
      <w:r w:rsidRPr="00AD0B00">
        <w:rPr>
          <w:lang w:val="tr-TR"/>
        </w:rPr>
        <w:t>;</w:t>
      </w:r>
    </w:p>
    <w:p w:rsidR="007C2179" w:rsidRPr="00AD0B00" w:rsidRDefault="007C2179" w:rsidP="007F05CB">
      <w:pPr>
        <w:pStyle w:val="SingleTxtG"/>
        <w:numPr>
          <w:ilvl w:val="1"/>
          <w:numId w:val="1"/>
        </w:numPr>
        <w:spacing w:line="360" w:lineRule="auto"/>
        <w:rPr>
          <w:lang w:val="tr-TR"/>
        </w:rPr>
      </w:pPr>
      <w:r w:rsidRPr="00AD0B00">
        <w:rPr>
          <w:lang w:val="tr-TR"/>
        </w:rPr>
        <w:t>B</w:t>
      </w:r>
      <w:r w:rsidRPr="00AD0B00">
        <w:rPr>
          <w:lang w:val="tr-TR"/>
        </w:rPr>
        <w:t>aşvuru</w:t>
      </w:r>
      <w:r w:rsidR="0033238D" w:rsidRPr="00AD0B00">
        <w:rPr>
          <w:lang w:val="tr-TR"/>
        </w:rPr>
        <w:t>, bireysel başvuru</w:t>
      </w:r>
      <w:r w:rsidRPr="00AD0B00">
        <w:rPr>
          <w:lang w:val="tr-TR"/>
        </w:rPr>
        <w:t xml:space="preserve"> hakkının</w:t>
      </w:r>
      <w:r w:rsidRPr="00AD0B00">
        <w:rPr>
          <w:lang w:val="tr-TR"/>
        </w:rPr>
        <w:t xml:space="preserve"> kötüye kullanılması veya </w:t>
      </w:r>
      <w:r w:rsidRPr="00AD0B00">
        <w:rPr>
          <w:lang w:val="tr-TR"/>
        </w:rPr>
        <w:t>Sözleşme hükümlerine uygun değil ise</w:t>
      </w:r>
      <w:r w:rsidRPr="00AD0B00">
        <w:rPr>
          <w:lang w:val="tr-TR"/>
        </w:rPr>
        <w:t>;</w:t>
      </w:r>
    </w:p>
    <w:p w:rsidR="00781C94" w:rsidRPr="00AD0B00" w:rsidRDefault="00781C94" w:rsidP="007F05CB">
      <w:pPr>
        <w:pStyle w:val="SingleTxtG"/>
        <w:numPr>
          <w:ilvl w:val="1"/>
          <w:numId w:val="1"/>
        </w:numPr>
        <w:spacing w:line="360" w:lineRule="auto"/>
        <w:rPr>
          <w:lang w:val="tr-TR"/>
        </w:rPr>
      </w:pPr>
      <w:r w:rsidRPr="00AD0B00">
        <w:rPr>
          <w:lang w:val="tr-TR"/>
        </w:rPr>
        <w:t>Aynı konu</w:t>
      </w:r>
      <w:r w:rsidR="0033238D" w:rsidRPr="00AD0B00">
        <w:rPr>
          <w:lang w:val="tr-TR"/>
        </w:rPr>
        <w:t>,</w:t>
      </w:r>
      <w:r w:rsidRPr="00AD0B00">
        <w:rPr>
          <w:lang w:val="tr-TR"/>
        </w:rPr>
        <w:t xml:space="preserve"> Komite </w:t>
      </w:r>
      <w:r w:rsidRPr="00AD0B00">
        <w:rPr>
          <w:lang w:val="tr-TR"/>
        </w:rPr>
        <w:t>t</w:t>
      </w:r>
      <w:r w:rsidRPr="00AD0B00">
        <w:rPr>
          <w:lang w:val="tr-TR"/>
        </w:rPr>
        <w:t xml:space="preserve">arafından daha önce incelenmiş veya başka bir uluslararası inceleme veya çözümleme prosedürü altında incelenmiş veya incelenmekte ise </w:t>
      </w:r>
    </w:p>
    <w:p w:rsidR="00781C94" w:rsidRPr="00AD0B00" w:rsidRDefault="00781C94" w:rsidP="007F05CB">
      <w:pPr>
        <w:pStyle w:val="SingleTxtG"/>
        <w:numPr>
          <w:ilvl w:val="1"/>
          <w:numId w:val="1"/>
        </w:numPr>
        <w:spacing w:line="360" w:lineRule="auto"/>
        <w:rPr>
          <w:lang w:val="tr-TR"/>
        </w:rPr>
      </w:pPr>
      <w:r w:rsidRPr="00AD0B00">
        <w:rPr>
          <w:lang w:val="tr-TR"/>
        </w:rPr>
        <w:t>Mevcut tüm iç hukuk yollarının tüketilmemiş olmaması durumunda. Bu kural</w:t>
      </w:r>
      <w:r w:rsidRPr="00AD0B00">
        <w:rPr>
          <w:lang w:val="tr-TR"/>
        </w:rPr>
        <w:t xml:space="preserve">ın istisnası ise, </w:t>
      </w:r>
      <w:r w:rsidR="005E077E" w:rsidRPr="00AD0B00">
        <w:rPr>
          <w:lang w:val="tr-TR"/>
        </w:rPr>
        <w:t>çözüm sürecinin makul olmayan şekilde uzatılması veya etkili çözüm bulunma ihtimalinin olmaması durumlarıdır.</w:t>
      </w:r>
    </w:p>
    <w:p w:rsidR="005E077E" w:rsidRPr="00AD0B00" w:rsidRDefault="005E077E" w:rsidP="007F05CB">
      <w:pPr>
        <w:pStyle w:val="SingleTxtG"/>
        <w:numPr>
          <w:ilvl w:val="1"/>
          <w:numId w:val="1"/>
        </w:numPr>
        <w:spacing w:line="360" w:lineRule="auto"/>
        <w:rPr>
          <w:lang w:val="tr-TR"/>
        </w:rPr>
      </w:pPr>
      <w:r w:rsidRPr="00AD0B00">
        <w:rPr>
          <w:lang w:val="tr-TR"/>
        </w:rPr>
        <w:t xml:space="preserve">Başvuru asılsız veya </w:t>
      </w:r>
      <w:r w:rsidRPr="00AD0B00">
        <w:rPr>
          <w:lang w:val="tr-TR"/>
        </w:rPr>
        <w:t>açıkça dayanaktan yoksun ise</w:t>
      </w:r>
      <w:r w:rsidRPr="00AD0B00">
        <w:rPr>
          <w:lang w:val="tr-TR"/>
        </w:rPr>
        <w:t>; veya</w:t>
      </w:r>
    </w:p>
    <w:p w:rsidR="007C2179" w:rsidRPr="00AD0B00" w:rsidRDefault="0033238D" w:rsidP="007F05CB">
      <w:pPr>
        <w:pStyle w:val="SingleTxtG"/>
        <w:numPr>
          <w:ilvl w:val="1"/>
          <w:numId w:val="1"/>
        </w:numPr>
        <w:spacing w:line="360" w:lineRule="auto"/>
        <w:rPr>
          <w:lang w:val="tr-TR"/>
        </w:rPr>
      </w:pPr>
      <w:r w:rsidRPr="00AD0B00">
        <w:rPr>
          <w:lang w:val="tr-TR"/>
        </w:rPr>
        <w:t>Başvuruya konu olan olay(lar)</w:t>
      </w:r>
      <w:r w:rsidR="00AD0B00" w:rsidRPr="00AD0B00">
        <w:rPr>
          <w:lang w:val="tr-TR"/>
        </w:rPr>
        <w:t>ın</w:t>
      </w:r>
      <w:r w:rsidR="007712B6" w:rsidRPr="00AD0B00">
        <w:rPr>
          <w:lang w:val="tr-TR"/>
        </w:rPr>
        <w:t xml:space="preserve">, Taraf Devlet için Ek İhtiyari Protokolün yürürlüğe girmesinden önce </w:t>
      </w:r>
      <w:r w:rsidR="007712B6" w:rsidRPr="00AD0B00">
        <w:rPr>
          <w:lang w:val="tr-TR"/>
        </w:rPr>
        <w:t xml:space="preserve">gerçekleşmiş olması. Bu kuralın istisnası, bahsi geçen </w:t>
      </w:r>
      <w:r w:rsidR="007712B6" w:rsidRPr="00AD0B00">
        <w:rPr>
          <w:lang w:val="tr-TR"/>
        </w:rPr>
        <w:t>olay</w:t>
      </w:r>
      <w:r w:rsidR="007712B6" w:rsidRPr="00AD0B00">
        <w:rPr>
          <w:lang w:val="tr-TR"/>
        </w:rPr>
        <w:t>(</w:t>
      </w:r>
      <w:r w:rsidR="007712B6" w:rsidRPr="00AD0B00">
        <w:rPr>
          <w:lang w:val="tr-TR"/>
        </w:rPr>
        <w:t>lar</w:t>
      </w:r>
      <w:r w:rsidR="007712B6" w:rsidRPr="00AD0B00">
        <w:rPr>
          <w:lang w:val="tr-TR"/>
        </w:rPr>
        <w:t>)ın</w:t>
      </w:r>
      <w:r w:rsidR="007712B6" w:rsidRPr="00AD0B00">
        <w:rPr>
          <w:lang w:val="tr-TR"/>
        </w:rPr>
        <w:t xml:space="preserve"> bu tarihten sonra devam </w:t>
      </w:r>
      <w:r w:rsidR="007712B6" w:rsidRPr="00AD0B00">
        <w:rPr>
          <w:lang w:val="tr-TR"/>
        </w:rPr>
        <w:t>etmesidir</w:t>
      </w:r>
      <w:r w:rsidR="007712B6" w:rsidRPr="00AD0B00">
        <w:rPr>
          <w:lang w:val="tr-TR"/>
        </w:rPr>
        <w:t>.</w:t>
      </w:r>
    </w:p>
    <w:p w:rsidR="005568DF" w:rsidRPr="00AD0B00" w:rsidRDefault="005568DF" w:rsidP="007F05CB">
      <w:pPr>
        <w:pStyle w:val="SingleTxtG"/>
        <w:numPr>
          <w:ilvl w:val="0"/>
          <w:numId w:val="1"/>
        </w:numPr>
        <w:spacing w:line="360" w:lineRule="auto"/>
        <w:rPr>
          <w:lang w:val="tr-TR"/>
        </w:rPr>
      </w:pPr>
      <w:r w:rsidRPr="00AD0B00">
        <w:rPr>
          <w:lang w:val="tr-TR"/>
        </w:rPr>
        <w:t>Komite</w:t>
      </w:r>
      <w:r w:rsidRPr="00AD0B00">
        <w:rPr>
          <w:lang w:val="tr-TR"/>
        </w:rPr>
        <w:t>,</w:t>
      </w:r>
      <w:r w:rsidRPr="00AD0B00">
        <w:rPr>
          <w:lang w:val="tr-TR"/>
        </w:rPr>
        <w:t xml:space="preserve"> Ek </w:t>
      </w:r>
      <w:r w:rsidRPr="00AD0B00">
        <w:rPr>
          <w:lang w:val="tr-TR"/>
        </w:rPr>
        <w:t xml:space="preserve">İhtiyari </w:t>
      </w:r>
      <w:r w:rsidRPr="00AD0B00">
        <w:rPr>
          <w:lang w:val="tr-TR"/>
        </w:rPr>
        <w:t>Protokol</w:t>
      </w:r>
      <w:r w:rsidRPr="00AD0B00">
        <w:rPr>
          <w:lang w:val="tr-TR"/>
        </w:rPr>
        <w:t>’</w:t>
      </w:r>
      <w:r w:rsidRPr="00AD0B00">
        <w:rPr>
          <w:lang w:val="tr-TR"/>
        </w:rPr>
        <w:t>ün 3.</w:t>
      </w:r>
      <w:r w:rsidRPr="00AD0B00">
        <w:rPr>
          <w:lang w:val="tr-TR"/>
        </w:rPr>
        <w:t xml:space="preserve"> M</w:t>
      </w:r>
      <w:r w:rsidRPr="00AD0B00">
        <w:rPr>
          <w:lang w:val="tr-TR"/>
        </w:rPr>
        <w:t xml:space="preserve">addesi ve </w:t>
      </w:r>
      <w:r w:rsidR="00F67296" w:rsidRPr="00AD0B00">
        <w:rPr>
          <w:lang w:val="tr-TR"/>
        </w:rPr>
        <w:t xml:space="preserve">İç Tüzüğü’nün </w:t>
      </w:r>
      <w:r w:rsidRPr="00AD0B00">
        <w:rPr>
          <w:lang w:val="tr-TR"/>
        </w:rPr>
        <w:t>70. Madde</w:t>
      </w:r>
      <w:r w:rsidR="00F67296" w:rsidRPr="00AD0B00">
        <w:rPr>
          <w:lang w:val="tr-TR"/>
        </w:rPr>
        <w:t>sinin 1. fıkrasına</w:t>
      </w:r>
      <w:r w:rsidRPr="00AD0B00">
        <w:rPr>
          <w:lang w:val="tr-TR"/>
        </w:rPr>
        <w:t xml:space="preserve"> uygun olarak</w:t>
      </w:r>
      <w:r w:rsidR="00F67296" w:rsidRPr="00AD0B00">
        <w:rPr>
          <w:lang w:val="tr-TR"/>
        </w:rPr>
        <w:t>,</w:t>
      </w:r>
      <w:r w:rsidRPr="00AD0B00">
        <w:rPr>
          <w:lang w:val="tr-TR"/>
        </w:rPr>
        <w:t xml:space="preserve"> kendisine yapılmış herhangi gizli bir başvuruyu, Ek </w:t>
      </w:r>
      <w:r w:rsidR="00AE28AB" w:rsidRPr="00AD0B00">
        <w:rPr>
          <w:lang w:val="tr-TR"/>
        </w:rPr>
        <w:t xml:space="preserve">İhtiyari </w:t>
      </w:r>
      <w:r w:rsidRPr="00AD0B00">
        <w:rPr>
          <w:lang w:val="tr-TR"/>
        </w:rPr>
        <w:t>Protokol</w:t>
      </w:r>
      <w:r w:rsidR="00AE28AB" w:rsidRPr="00AD0B00">
        <w:rPr>
          <w:lang w:val="tr-TR"/>
        </w:rPr>
        <w:t>’</w:t>
      </w:r>
      <w:r w:rsidRPr="00AD0B00">
        <w:rPr>
          <w:lang w:val="tr-TR"/>
        </w:rPr>
        <w:t>ün 2.</w:t>
      </w:r>
      <w:r w:rsidR="00AE28AB" w:rsidRPr="00AD0B00">
        <w:rPr>
          <w:lang w:val="tr-TR"/>
        </w:rPr>
        <w:t xml:space="preserve"> M</w:t>
      </w:r>
      <w:r w:rsidRPr="00AD0B00">
        <w:rPr>
          <w:lang w:val="tr-TR"/>
        </w:rPr>
        <w:t>adde</w:t>
      </w:r>
      <w:r w:rsidR="00AE28AB" w:rsidRPr="00AD0B00">
        <w:rPr>
          <w:lang w:val="tr-TR"/>
        </w:rPr>
        <w:t xml:space="preserve">sine tabi olarak </w:t>
      </w:r>
      <w:r w:rsidRPr="00AD0B00">
        <w:rPr>
          <w:lang w:val="tr-TR"/>
        </w:rPr>
        <w:t xml:space="preserve">Taraf </w:t>
      </w:r>
      <w:r w:rsidR="00AE28AB" w:rsidRPr="00AD0B00">
        <w:rPr>
          <w:lang w:val="tr-TR"/>
        </w:rPr>
        <w:t>D</w:t>
      </w:r>
      <w:r w:rsidRPr="00AD0B00">
        <w:rPr>
          <w:lang w:val="tr-TR"/>
        </w:rPr>
        <w:t>evlet</w:t>
      </w:r>
      <w:r w:rsidR="006F1A6F">
        <w:rPr>
          <w:lang w:val="tr-TR"/>
        </w:rPr>
        <w:t>’</w:t>
      </w:r>
      <w:r w:rsidRPr="00AD0B00">
        <w:rPr>
          <w:lang w:val="tr-TR"/>
        </w:rPr>
        <w:t>e sunabilir.</w:t>
      </w:r>
    </w:p>
    <w:p w:rsidR="00AE28AB" w:rsidRPr="00AD0B00" w:rsidRDefault="00AE28AB" w:rsidP="007F05CB">
      <w:pPr>
        <w:pStyle w:val="SingleTxtG"/>
        <w:numPr>
          <w:ilvl w:val="0"/>
          <w:numId w:val="1"/>
        </w:numPr>
        <w:spacing w:line="360" w:lineRule="auto"/>
        <w:rPr>
          <w:lang w:val="tr-TR"/>
        </w:rPr>
      </w:pPr>
      <w:r w:rsidRPr="00AD0B00">
        <w:rPr>
          <w:lang w:val="tr-TR"/>
        </w:rPr>
        <w:t>Engelli</w:t>
      </w:r>
      <w:r w:rsidR="00FC79BC">
        <w:rPr>
          <w:lang w:val="tr-TR"/>
        </w:rPr>
        <w:t xml:space="preserve"> Kişilerin Hakları Sözleşmesi,</w:t>
      </w:r>
      <w:r w:rsidR="00FC79BC" w:rsidRPr="00AD0B00">
        <w:rPr>
          <w:lang w:val="tr-TR"/>
        </w:rPr>
        <w:t xml:space="preserve"> </w:t>
      </w:r>
      <w:r w:rsidRPr="00AD0B00">
        <w:rPr>
          <w:lang w:val="tr-TR"/>
        </w:rPr>
        <w:t xml:space="preserve">, Ek İhtiyari Protokol ve Komite’nin </w:t>
      </w:r>
      <w:r w:rsidRPr="00AD0B00">
        <w:rPr>
          <w:lang w:val="tr-TR"/>
        </w:rPr>
        <w:t>İç Tüzüğü</w:t>
      </w:r>
      <w:r w:rsidRPr="00AD0B00">
        <w:rPr>
          <w:lang w:val="tr-TR"/>
        </w:rPr>
        <w:t xml:space="preserve"> hakkında daha fazla bilgiye bu web</w:t>
      </w:r>
      <w:r w:rsidR="006F1A6F">
        <w:rPr>
          <w:lang w:val="tr-TR"/>
        </w:rPr>
        <w:t xml:space="preserve"> </w:t>
      </w:r>
      <w:r w:rsidRPr="00AD0B00">
        <w:rPr>
          <w:lang w:val="tr-TR"/>
        </w:rPr>
        <w:t>s</w:t>
      </w:r>
      <w:r w:rsidRPr="00AD0B00">
        <w:rPr>
          <w:lang w:val="tr-TR"/>
        </w:rPr>
        <w:t xml:space="preserve">itesi üzerinden ulaşabilirsiniz:  </w:t>
      </w:r>
      <w:r w:rsidRPr="00AD0B00">
        <w:rPr>
          <w:lang w:val="tr-TR"/>
        </w:rPr>
        <w:t>http://www.ohchr.org/EN/HRBodies/CRPD/Pages/CRPDIndex.aspx.</w:t>
      </w:r>
    </w:p>
    <w:p w:rsidR="000167DE" w:rsidRPr="00AD0B00" w:rsidRDefault="00AE28AB" w:rsidP="007F05CB">
      <w:pPr>
        <w:pStyle w:val="SingleTxtG"/>
        <w:numPr>
          <w:ilvl w:val="0"/>
          <w:numId w:val="1"/>
        </w:numPr>
        <w:spacing w:line="360" w:lineRule="auto"/>
        <w:rPr>
          <w:lang w:val="tr-TR"/>
        </w:rPr>
      </w:pPr>
      <w:r w:rsidRPr="00AD0B00">
        <w:rPr>
          <w:lang w:val="tr-TR"/>
        </w:rPr>
        <w:t>Başvuru yapmak için lütfen CRPD/C/5/3/Rev.1 dosyasında bulunan kılavuzu takip edin. Lütfen mevcut ilgili tüm belgeleri başvuruyu yaptığınız anda, iç hukuk yollarını tükettiğinizi gösteren ya da dava ile ilgili olup</w:t>
      </w:r>
      <w:r w:rsidRPr="00AD0B00">
        <w:rPr>
          <w:lang w:val="tr-TR"/>
        </w:rPr>
        <w:t xml:space="preserve"> </w:t>
      </w:r>
      <w:r w:rsidRPr="00AD0B00">
        <w:rPr>
          <w:lang w:val="tr-TR"/>
        </w:rPr>
        <w:t xml:space="preserve">(mahkeme kararları, içtihat vb.) </w:t>
      </w:r>
      <w:r w:rsidRPr="00AD0B00">
        <w:rPr>
          <w:lang w:val="tr-TR"/>
        </w:rPr>
        <w:t xml:space="preserve">daha </w:t>
      </w:r>
      <w:r w:rsidRPr="00AD0B00">
        <w:rPr>
          <w:lang w:val="tr-TR"/>
        </w:rPr>
        <w:t xml:space="preserve">sonraki bir tarihte aldığınız belgeleri de gönderiniz.    </w:t>
      </w:r>
    </w:p>
    <w:p w:rsidR="00922FCE" w:rsidRPr="00AD0B00" w:rsidRDefault="00922FCE" w:rsidP="007F05CB">
      <w:pPr>
        <w:pStyle w:val="SingleTxtG"/>
        <w:spacing w:line="360" w:lineRule="auto"/>
        <w:ind w:left="0"/>
      </w:pPr>
    </w:p>
    <w:p w:rsidR="00922FCE" w:rsidRPr="00AD0B00" w:rsidRDefault="00922FCE" w:rsidP="007F05CB">
      <w:pPr>
        <w:spacing w:before="240" w:line="360" w:lineRule="auto"/>
        <w:jc w:val="center"/>
        <w:rPr>
          <w:u w:val="single"/>
        </w:rPr>
      </w:pPr>
      <w:r w:rsidRPr="00AD0B00">
        <w:rPr>
          <w:u w:val="single"/>
        </w:rPr>
        <w:tab/>
      </w:r>
      <w:r w:rsidRPr="00AD0B00">
        <w:rPr>
          <w:u w:val="single"/>
        </w:rPr>
        <w:tab/>
      </w:r>
      <w:r w:rsidRPr="00AD0B00">
        <w:rPr>
          <w:u w:val="single"/>
        </w:rPr>
        <w:tab/>
      </w:r>
    </w:p>
    <w:p w:rsidR="00922FCE" w:rsidRPr="00AD0B00" w:rsidRDefault="00922FCE" w:rsidP="007F05CB">
      <w:pPr>
        <w:pStyle w:val="SingleTxtG"/>
        <w:spacing w:line="360" w:lineRule="auto"/>
      </w:pPr>
    </w:p>
    <w:p w:rsidR="00922FCE" w:rsidRPr="00AD0B00" w:rsidRDefault="00922FCE" w:rsidP="007F05CB">
      <w:pPr>
        <w:pStyle w:val="SingleTxtG"/>
        <w:spacing w:line="360" w:lineRule="auto"/>
        <w:ind w:left="0"/>
      </w:pPr>
    </w:p>
    <w:p w:rsidR="000167DE" w:rsidRPr="00AD0B00" w:rsidRDefault="000167DE" w:rsidP="007F05CB">
      <w:pPr>
        <w:spacing w:line="360" w:lineRule="auto"/>
        <w:rPr>
          <w:rFonts w:ascii="Times New Roman" w:hAnsi="Times New Roman" w:cs="Times New Roman"/>
        </w:rPr>
      </w:pPr>
    </w:p>
    <w:p w:rsidR="00F2157F" w:rsidRPr="00AD0B00" w:rsidRDefault="00F2157F" w:rsidP="007F05CB">
      <w:pPr>
        <w:spacing w:line="360" w:lineRule="auto"/>
        <w:rPr>
          <w:rFonts w:ascii="Times New Roman" w:hAnsi="Times New Roman" w:cs="Times New Roman"/>
        </w:rPr>
      </w:pPr>
    </w:p>
    <w:sectPr w:rsidR="00F2157F" w:rsidRPr="00AD0B00" w:rsidSect="000167D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AFA" w:rsidRDefault="002F3AFA" w:rsidP="000167DE">
      <w:pPr>
        <w:spacing w:after="0" w:line="240" w:lineRule="auto"/>
      </w:pPr>
      <w:r>
        <w:separator/>
      </w:r>
    </w:p>
  </w:endnote>
  <w:endnote w:type="continuationSeparator" w:id="0">
    <w:p w:rsidR="002F3AFA" w:rsidRDefault="002F3AFA" w:rsidP="00016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2185923"/>
      <w:docPartObj>
        <w:docPartGallery w:val="Page Numbers (Bottom of Page)"/>
        <w:docPartUnique/>
      </w:docPartObj>
    </w:sdtPr>
    <w:sdtContent>
      <w:p w:rsidR="00143CEE" w:rsidRDefault="00143CE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95B">
          <w:rPr>
            <w:noProof/>
          </w:rPr>
          <w:t>2</w:t>
        </w:r>
        <w:r>
          <w:fldChar w:fldCharType="end"/>
        </w:r>
      </w:p>
    </w:sdtContent>
  </w:sdt>
  <w:p w:rsidR="00143CEE" w:rsidRDefault="00143CE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AFA" w:rsidRDefault="002F3AFA" w:rsidP="000167DE">
      <w:pPr>
        <w:spacing w:after="0" w:line="240" w:lineRule="auto"/>
      </w:pPr>
      <w:r>
        <w:separator/>
      </w:r>
    </w:p>
  </w:footnote>
  <w:footnote w:type="continuationSeparator" w:id="0">
    <w:p w:rsidR="002F3AFA" w:rsidRDefault="002F3AFA" w:rsidP="00016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7DE" w:rsidRPr="000167DE" w:rsidRDefault="000167DE" w:rsidP="000167DE">
    <w:pPr>
      <w:pBdr>
        <w:bottom w:val="single" w:sz="4" w:space="4" w:color="auto"/>
      </w:pBdr>
      <w:suppressAutoHyphens/>
      <w:spacing w:after="0" w:line="240" w:lineRule="auto"/>
      <w:rPr>
        <w:rFonts w:ascii="Times New Roman" w:eastAsia="Times New Roman" w:hAnsi="Times New Roman" w:cs="Times New Roman"/>
        <w:b/>
        <w:sz w:val="18"/>
        <w:szCs w:val="20"/>
        <w:lang w:val="en-GB"/>
      </w:rPr>
    </w:pPr>
    <w:r w:rsidRPr="000167DE">
      <w:rPr>
        <w:rFonts w:ascii="Times New Roman" w:eastAsia="Times New Roman" w:hAnsi="Times New Roman" w:cs="Times New Roman"/>
        <w:b/>
        <w:sz w:val="18"/>
        <w:szCs w:val="20"/>
        <w:lang w:val="en-GB"/>
      </w:rPr>
      <w:t>CPRD/C/5/2/Rev.1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B7002"/>
    <w:multiLevelType w:val="hybridMultilevel"/>
    <w:tmpl w:val="6598E23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7DE"/>
    <w:rsid w:val="000167DE"/>
    <w:rsid w:val="00052E94"/>
    <w:rsid w:val="00143CEE"/>
    <w:rsid w:val="00153A40"/>
    <w:rsid w:val="001C7EB5"/>
    <w:rsid w:val="00295184"/>
    <w:rsid w:val="002D4922"/>
    <w:rsid w:val="002F3AFA"/>
    <w:rsid w:val="0033238D"/>
    <w:rsid w:val="00365696"/>
    <w:rsid w:val="003772A3"/>
    <w:rsid w:val="00530BF0"/>
    <w:rsid w:val="005568DF"/>
    <w:rsid w:val="005E077E"/>
    <w:rsid w:val="006F1A6F"/>
    <w:rsid w:val="007712B6"/>
    <w:rsid w:val="00781C94"/>
    <w:rsid w:val="00796A9E"/>
    <w:rsid w:val="007C2179"/>
    <w:rsid w:val="007E6B13"/>
    <w:rsid w:val="007F05CB"/>
    <w:rsid w:val="00805CF8"/>
    <w:rsid w:val="00825202"/>
    <w:rsid w:val="008B740C"/>
    <w:rsid w:val="008D04DB"/>
    <w:rsid w:val="00922FCE"/>
    <w:rsid w:val="00964594"/>
    <w:rsid w:val="009E0C2A"/>
    <w:rsid w:val="00A74590"/>
    <w:rsid w:val="00AD0B00"/>
    <w:rsid w:val="00AE28AB"/>
    <w:rsid w:val="00B12661"/>
    <w:rsid w:val="00B34F95"/>
    <w:rsid w:val="00B81D3D"/>
    <w:rsid w:val="00B835CE"/>
    <w:rsid w:val="00BC018B"/>
    <w:rsid w:val="00D5495B"/>
    <w:rsid w:val="00E42A5C"/>
    <w:rsid w:val="00F2157F"/>
    <w:rsid w:val="00F33E3A"/>
    <w:rsid w:val="00F67296"/>
    <w:rsid w:val="00FC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818188"/>
  <w15:chartTrackingRefBased/>
  <w15:docId w15:val="{475606A2-EE71-482B-9741-C8BEB5C13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7D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6_G"/>
    <w:basedOn w:val="Normal"/>
    <w:link w:val="stBilgiChar"/>
    <w:unhideWhenUsed/>
    <w:rsid w:val="00016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167DE"/>
  </w:style>
  <w:style w:type="paragraph" w:styleId="AltBilgi">
    <w:name w:val="footer"/>
    <w:basedOn w:val="Normal"/>
    <w:link w:val="AltBilgiChar"/>
    <w:uiPriority w:val="99"/>
    <w:unhideWhenUsed/>
    <w:rsid w:val="00016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167DE"/>
  </w:style>
  <w:style w:type="paragraph" w:styleId="ListeParagraf">
    <w:name w:val="List Paragraph"/>
    <w:basedOn w:val="Normal"/>
    <w:uiPriority w:val="34"/>
    <w:qFormat/>
    <w:rsid w:val="00153A40"/>
    <w:pPr>
      <w:ind w:left="720"/>
      <w:contextualSpacing/>
    </w:pPr>
  </w:style>
  <w:style w:type="paragraph" w:customStyle="1" w:styleId="SingleTxtG">
    <w:name w:val="_ Single Txt_G"/>
    <w:basedOn w:val="Normal"/>
    <w:rsid w:val="001C7EB5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596D8-99C5-4104-B359-86A69022F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2018-09-07T10:10:00Z</dcterms:created>
  <dcterms:modified xsi:type="dcterms:W3CDTF">2018-09-07T11:36:00Z</dcterms:modified>
</cp:coreProperties>
</file>