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4DA" w:rsidRPr="003F451C" w:rsidRDefault="00B644DA" w:rsidP="00A02A40">
      <w:pPr>
        <w:spacing w:line="276" w:lineRule="auto"/>
        <w:jc w:val="both"/>
        <w:rPr>
          <w:rFonts w:ascii="Arial" w:hAnsi="Arial" w:cs="Arial"/>
          <w:b/>
          <w:sz w:val="24"/>
          <w:szCs w:val="24"/>
        </w:rPr>
      </w:pPr>
    </w:p>
    <w:p w:rsidR="00B644DA" w:rsidRPr="003F451C" w:rsidRDefault="00B644DA" w:rsidP="00A02A40">
      <w:pPr>
        <w:spacing w:line="276" w:lineRule="auto"/>
        <w:jc w:val="both"/>
        <w:rPr>
          <w:rFonts w:ascii="Arial" w:hAnsi="Arial" w:cs="Arial"/>
          <w:b/>
          <w:sz w:val="24"/>
          <w:szCs w:val="24"/>
        </w:rPr>
      </w:pPr>
    </w:p>
    <w:p w:rsidR="00B644DA" w:rsidRPr="003F451C" w:rsidRDefault="00B644DA" w:rsidP="00A02A40">
      <w:pPr>
        <w:spacing w:line="276" w:lineRule="auto"/>
        <w:jc w:val="both"/>
        <w:rPr>
          <w:rFonts w:ascii="Arial" w:hAnsi="Arial" w:cs="Arial"/>
          <w:b/>
          <w:sz w:val="24"/>
          <w:szCs w:val="24"/>
        </w:rPr>
      </w:pPr>
    </w:p>
    <w:p w:rsidR="00B644DA" w:rsidRPr="003F451C" w:rsidRDefault="00B644DA" w:rsidP="00A02A40">
      <w:pPr>
        <w:spacing w:line="276" w:lineRule="auto"/>
        <w:jc w:val="both"/>
        <w:rPr>
          <w:rFonts w:ascii="Arial" w:hAnsi="Arial" w:cs="Arial"/>
          <w:b/>
          <w:sz w:val="24"/>
          <w:szCs w:val="24"/>
        </w:rPr>
      </w:pPr>
    </w:p>
    <w:p w:rsidR="00B644DA" w:rsidRPr="003F451C" w:rsidRDefault="00B644DA" w:rsidP="00A02A40">
      <w:pPr>
        <w:spacing w:line="276" w:lineRule="auto"/>
        <w:jc w:val="both"/>
        <w:rPr>
          <w:rFonts w:ascii="Arial" w:hAnsi="Arial" w:cs="Arial"/>
          <w:b/>
          <w:sz w:val="24"/>
          <w:szCs w:val="24"/>
        </w:rPr>
      </w:pPr>
    </w:p>
    <w:p w:rsidR="00DB7BD5" w:rsidRPr="003F451C" w:rsidRDefault="00DB7BD5" w:rsidP="00A02A40">
      <w:pPr>
        <w:spacing w:line="276" w:lineRule="auto"/>
        <w:jc w:val="both"/>
        <w:rPr>
          <w:rFonts w:ascii="Arial" w:hAnsi="Arial" w:cs="Arial"/>
          <w:b/>
          <w:sz w:val="24"/>
          <w:szCs w:val="24"/>
        </w:rPr>
      </w:pPr>
    </w:p>
    <w:p w:rsidR="0011624A" w:rsidRPr="003F451C" w:rsidRDefault="0011624A" w:rsidP="00A02A40">
      <w:pPr>
        <w:spacing w:line="276" w:lineRule="auto"/>
        <w:jc w:val="both"/>
        <w:rPr>
          <w:rFonts w:ascii="Arial" w:hAnsi="Arial" w:cs="Arial"/>
          <w:b/>
          <w:sz w:val="24"/>
          <w:szCs w:val="24"/>
        </w:rPr>
      </w:pPr>
    </w:p>
    <w:p w:rsidR="0011624A" w:rsidRPr="003F451C" w:rsidRDefault="0011624A" w:rsidP="00A02A40">
      <w:pPr>
        <w:spacing w:line="276" w:lineRule="auto"/>
        <w:jc w:val="both"/>
        <w:rPr>
          <w:rFonts w:ascii="Arial" w:hAnsi="Arial" w:cs="Arial"/>
          <w:b/>
          <w:sz w:val="24"/>
          <w:szCs w:val="24"/>
        </w:rPr>
      </w:pPr>
    </w:p>
    <w:p w:rsidR="00B644DA" w:rsidRPr="003F451C" w:rsidRDefault="00B644DA" w:rsidP="00A02A40">
      <w:pPr>
        <w:spacing w:line="276" w:lineRule="auto"/>
        <w:jc w:val="both"/>
        <w:rPr>
          <w:rFonts w:ascii="Arial" w:hAnsi="Arial" w:cs="Arial"/>
          <w:b/>
          <w:sz w:val="24"/>
          <w:szCs w:val="24"/>
        </w:rPr>
      </w:pPr>
    </w:p>
    <w:p w:rsidR="00B644DA" w:rsidRPr="003F451C" w:rsidRDefault="00B644DA" w:rsidP="00A02A40">
      <w:pPr>
        <w:spacing w:line="276" w:lineRule="auto"/>
        <w:jc w:val="both"/>
        <w:rPr>
          <w:rFonts w:ascii="Arial" w:hAnsi="Arial" w:cs="Arial"/>
          <w:b/>
          <w:sz w:val="24"/>
          <w:szCs w:val="24"/>
        </w:rPr>
      </w:pPr>
    </w:p>
    <w:p w:rsidR="00B644DA" w:rsidRPr="003F451C" w:rsidRDefault="00B644DA" w:rsidP="00A02A40">
      <w:pPr>
        <w:spacing w:line="276" w:lineRule="auto"/>
        <w:jc w:val="both"/>
        <w:rPr>
          <w:rFonts w:ascii="Arial" w:hAnsi="Arial" w:cs="Arial"/>
          <w:b/>
          <w:sz w:val="24"/>
          <w:szCs w:val="24"/>
        </w:rPr>
      </w:pPr>
    </w:p>
    <w:p w:rsidR="00B644DA" w:rsidRPr="003F451C" w:rsidRDefault="00B644DA" w:rsidP="00A02A40">
      <w:pPr>
        <w:spacing w:line="276" w:lineRule="auto"/>
        <w:jc w:val="both"/>
        <w:rPr>
          <w:rFonts w:ascii="Arial" w:hAnsi="Arial" w:cs="Arial"/>
          <w:sz w:val="24"/>
          <w:szCs w:val="24"/>
        </w:rPr>
      </w:pPr>
      <w:r w:rsidRPr="003F451C">
        <w:rPr>
          <w:rFonts w:ascii="Arial" w:hAnsi="Arial" w:cs="Arial"/>
          <w:noProof/>
          <w:sz w:val="24"/>
          <w:szCs w:val="24"/>
          <w:lang w:eastAsia="tr-TR"/>
        </w:rPr>
        <w:drawing>
          <wp:anchor distT="0" distB="0" distL="114300" distR="114300" simplePos="0" relativeHeight="251659264" behindDoc="1" locked="0" layoutInCell="1" allowOverlap="1" wp14:anchorId="299E1614" wp14:editId="30C1C86C">
            <wp:simplePos x="0" y="0"/>
            <wp:positionH relativeFrom="column">
              <wp:posOffset>1504950</wp:posOffset>
            </wp:positionH>
            <wp:positionV relativeFrom="paragraph">
              <wp:posOffset>8890</wp:posOffset>
            </wp:positionV>
            <wp:extent cx="2438400" cy="1162050"/>
            <wp:effectExtent l="0" t="0" r="0" b="0"/>
            <wp:wrapTight wrapText="bothSides">
              <wp:wrapPolygon edited="0">
                <wp:start x="0" y="0"/>
                <wp:lineTo x="0" y="21246"/>
                <wp:lineTo x="21431" y="21246"/>
                <wp:lineTo x="21431" y="0"/>
                <wp:lineTo x="0" y="0"/>
              </wp:wrapPolygon>
            </wp:wrapTight>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2438400" cy="1162050"/>
                    </a:xfrm>
                    <a:prstGeom prst="rect">
                      <a:avLst/>
                    </a:prstGeom>
                    <a:ln/>
                  </pic:spPr>
                </pic:pic>
              </a:graphicData>
            </a:graphic>
          </wp:anchor>
        </w:drawing>
      </w:r>
    </w:p>
    <w:p w:rsidR="00B644DA" w:rsidRPr="003F451C" w:rsidRDefault="00B644DA" w:rsidP="00A02A40">
      <w:pPr>
        <w:spacing w:line="276" w:lineRule="auto"/>
        <w:jc w:val="both"/>
        <w:rPr>
          <w:rFonts w:ascii="Arial" w:eastAsia="Times New Roman" w:hAnsi="Arial" w:cs="Arial"/>
          <w:sz w:val="24"/>
          <w:szCs w:val="24"/>
        </w:rPr>
      </w:pPr>
    </w:p>
    <w:p w:rsidR="00B644DA" w:rsidRPr="003F451C" w:rsidRDefault="00B644DA" w:rsidP="00A02A40">
      <w:pPr>
        <w:spacing w:line="276" w:lineRule="auto"/>
        <w:jc w:val="both"/>
        <w:rPr>
          <w:rFonts w:ascii="Arial" w:eastAsia="Times New Roman" w:hAnsi="Arial" w:cs="Arial"/>
          <w:sz w:val="24"/>
          <w:szCs w:val="24"/>
        </w:rPr>
      </w:pPr>
    </w:p>
    <w:p w:rsidR="00B644DA" w:rsidRPr="003F451C" w:rsidRDefault="00B644DA" w:rsidP="00A02A40">
      <w:pPr>
        <w:spacing w:line="276" w:lineRule="auto"/>
        <w:jc w:val="both"/>
        <w:rPr>
          <w:rFonts w:ascii="Arial" w:eastAsia="Times New Roman" w:hAnsi="Arial" w:cs="Arial"/>
          <w:sz w:val="24"/>
          <w:szCs w:val="24"/>
        </w:rPr>
      </w:pPr>
    </w:p>
    <w:p w:rsidR="00B644DA" w:rsidRPr="003F451C" w:rsidRDefault="00B644DA" w:rsidP="00A02A40">
      <w:pPr>
        <w:spacing w:line="276" w:lineRule="auto"/>
        <w:jc w:val="both"/>
        <w:rPr>
          <w:rFonts w:ascii="Arial" w:eastAsia="Times New Roman" w:hAnsi="Arial" w:cs="Arial"/>
          <w:sz w:val="24"/>
          <w:szCs w:val="24"/>
        </w:rPr>
      </w:pPr>
    </w:p>
    <w:p w:rsidR="00DB7BD5" w:rsidRPr="003F451C" w:rsidRDefault="00DB7BD5" w:rsidP="00A02A40">
      <w:pPr>
        <w:spacing w:line="276" w:lineRule="auto"/>
        <w:jc w:val="both"/>
        <w:rPr>
          <w:rFonts w:ascii="Arial" w:eastAsia="Times New Roman" w:hAnsi="Arial" w:cs="Arial"/>
          <w:sz w:val="24"/>
          <w:szCs w:val="24"/>
        </w:rPr>
      </w:pPr>
    </w:p>
    <w:p w:rsidR="0011624A" w:rsidRPr="003F451C" w:rsidRDefault="0011624A" w:rsidP="006772E8">
      <w:pPr>
        <w:spacing w:line="276" w:lineRule="auto"/>
        <w:jc w:val="center"/>
        <w:rPr>
          <w:rFonts w:ascii="Arial" w:eastAsia="Times New Roman" w:hAnsi="Arial" w:cs="Arial"/>
          <w:sz w:val="24"/>
          <w:szCs w:val="24"/>
        </w:rPr>
      </w:pPr>
    </w:p>
    <w:p w:rsidR="00B644DA" w:rsidRPr="003F451C" w:rsidRDefault="00B644DA" w:rsidP="006772E8">
      <w:pPr>
        <w:spacing w:line="276" w:lineRule="auto"/>
        <w:jc w:val="center"/>
        <w:rPr>
          <w:rFonts w:ascii="Times New Roman" w:eastAsia="Times New Roman" w:hAnsi="Times New Roman" w:cs="Times New Roman"/>
          <w:b/>
          <w:sz w:val="24"/>
          <w:szCs w:val="24"/>
        </w:rPr>
      </w:pPr>
      <w:r w:rsidRPr="003F451C">
        <w:rPr>
          <w:rFonts w:ascii="Times New Roman" w:eastAsia="Times New Roman" w:hAnsi="Times New Roman" w:cs="Times New Roman"/>
          <w:b/>
          <w:sz w:val="24"/>
          <w:szCs w:val="24"/>
        </w:rPr>
        <w:t xml:space="preserve">Birleşmiş Milletler Evrensel Periyodik İnceleme, Türkiye’nin Üçüncü İnceleme </w:t>
      </w:r>
      <w:r w:rsidR="00C56469" w:rsidRPr="003F451C">
        <w:rPr>
          <w:rFonts w:ascii="Times New Roman" w:eastAsia="Times New Roman" w:hAnsi="Times New Roman" w:cs="Times New Roman"/>
          <w:b/>
          <w:sz w:val="24"/>
          <w:szCs w:val="24"/>
        </w:rPr>
        <w:t>Döngüsüne Sunulan</w:t>
      </w:r>
      <w:r w:rsidRPr="003F451C">
        <w:rPr>
          <w:rFonts w:ascii="Times New Roman" w:eastAsia="Times New Roman" w:hAnsi="Times New Roman" w:cs="Times New Roman"/>
          <w:b/>
          <w:sz w:val="24"/>
          <w:szCs w:val="24"/>
        </w:rPr>
        <w:t xml:space="preserve"> Sivil Toplum Raporu</w:t>
      </w:r>
    </w:p>
    <w:p w:rsidR="0011624A" w:rsidRPr="003F451C" w:rsidRDefault="0011624A" w:rsidP="006772E8">
      <w:pPr>
        <w:spacing w:line="276" w:lineRule="auto"/>
        <w:jc w:val="center"/>
        <w:rPr>
          <w:rFonts w:ascii="Times New Roman" w:eastAsia="Times New Roman" w:hAnsi="Times New Roman" w:cs="Times New Roman"/>
          <w:b/>
          <w:sz w:val="24"/>
          <w:szCs w:val="24"/>
        </w:rPr>
      </w:pPr>
    </w:p>
    <w:p w:rsidR="00B644DA" w:rsidRPr="003F451C" w:rsidRDefault="00B644DA" w:rsidP="006772E8">
      <w:pPr>
        <w:spacing w:line="276" w:lineRule="auto"/>
        <w:jc w:val="center"/>
        <w:rPr>
          <w:rFonts w:ascii="Times New Roman" w:eastAsia="Times New Roman" w:hAnsi="Times New Roman" w:cs="Times New Roman"/>
          <w:b/>
          <w:i/>
          <w:sz w:val="24"/>
          <w:szCs w:val="24"/>
        </w:rPr>
      </w:pPr>
      <w:r w:rsidRPr="003F451C">
        <w:rPr>
          <w:rFonts w:ascii="Times New Roman" w:eastAsia="Times New Roman" w:hAnsi="Times New Roman" w:cs="Times New Roman"/>
          <w:b/>
          <w:i/>
          <w:sz w:val="24"/>
          <w:szCs w:val="24"/>
        </w:rPr>
        <w:t>Hazırlayan:</w:t>
      </w:r>
    </w:p>
    <w:p w:rsidR="00B644DA" w:rsidRPr="003F451C" w:rsidRDefault="00B644DA" w:rsidP="006772E8">
      <w:pPr>
        <w:spacing w:line="276" w:lineRule="auto"/>
        <w:jc w:val="center"/>
        <w:rPr>
          <w:rFonts w:ascii="Times New Roman" w:eastAsia="Times New Roman" w:hAnsi="Times New Roman" w:cs="Times New Roman"/>
          <w:b/>
          <w:i/>
          <w:sz w:val="24"/>
          <w:szCs w:val="24"/>
        </w:rPr>
      </w:pPr>
      <w:r w:rsidRPr="003F451C">
        <w:rPr>
          <w:rFonts w:ascii="Times New Roman" w:eastAsia="Times New Roman" w:hAnsi="Times New Roman" w:cs="Times New Roman"/>
          <w:b/>
          <w:i/>
          <w:sz w:val="24"/>
          <w:szCs w:val="24"/>
        </w:rPr>
        <w:t>Eşit Haklar İçin İzleme Derneği (ESHID)</w:t>
      </w:r>
    </w:p>
    <w:p w:rsidR="00B644DA" w:rsidRPr="003F451C" w:rsidRDefault="00B644DA" w:rsidP="00A02A40">
      <w:pPr>
        <w:spacing w:line="276" w:lineRule="auto"/>
        <w:jc w:val="both"/>
        <w:rPr>
          <w:rFonts w:ascii="Arial" w:eastAsia="Times New Roman" w:hAnsi="Arial" w:cs="Arial"/>
          <w:b/>
          <w:sz w:val="24"/>
          <w:szCs w:val="24"/>
        </w:rPr>
      </w:pPr>
    </w:p>
    <w:p w:rsidR="00B644DA" w:rsidRPr="003F451C" w:rsidRDefault="00B644DA" w:rsidP="00A02A40">
      <w:pPr>
        <w:spacing w:line="276" w:lineRule="auto"/>
        <w:jc w:val="both"/>
        <w:rPr>
          <w:rFonts w:ascii="Arial" w:hAnsi="Arial" w:cs="Arial"/>
          <w:b/>
          <w:sz w:val="24"/>
          <w:szCs w:val="24"/>
        </w:rPr>
      </w:pPr>
      <w:r w:rsidRPr="003F451C">
        <w:rPr>
          <w:rFonts w:ascii="Arial" w:hAnsi="Arial" w:cs="Arial"/>
          <w:b/>
          <w:sz w:val="24"/>
          <w:szCs w:val="24"/>
        </w:rPr>
        <w:br w:type="page"/>
      </w:r>
    </w:p>
    <w:p w:rsidR="00CA7950" w:rsidRDefault="00CA7950" w:rsidP="00CA7950">
      <w:pPr>
        <w:rPr>
          <w:rFonts w:ascii="Arial" w:eastAsiaTheme="majorEastAsia" w:hAnsi="Arial" w:cs="Arial"/>
          <w:b/>
          <w:color w:val="2E74B5" w:themeColor="accent1" w:themeShade="BF"/>
          <w:sz w:val="24"/>
          <w:szCs w:val="24"/>
        </w:rPr>
      </w:pPr>
    </w:p>
    <w:p w:rsidR="00CA7950" w:rsidRDefault="00CA7950" w:rsidP="00CA7950">
      <w:pPr>
        <w:rPr>
          <w:rFonts w:ascii="Arial" w:eastAsiaTheme="majorEastAsia" w:hAnsi="Arial" w:cs="Arial"/>
          <w:b/>
          <w:color w:val="2E74B5" w:themeColor="accent1" w:themeShade="BF"/>
          <w:sz w:val="24"/>
          <w:szCs w:val="24"/>
        </w:rPr>
      </w:pPr>
      <w:r w:rsidRPr="006F093D">
        <w:rPr>
          <w:rFonts w:ascii="Arial" w:eastAsiaTheme="majorEastAsia" w:hAnsi="Arial" w:cs="Arial"/>
          <w:b/>
          <w:color w:val="2E74B5" w:themeColor="accent1" w:themeShade="BF"/>
          <w:sz w:val="24"/>
          <w:szCs w:val="24"/>
        </w:rPr>
        <w:t>Kısaltmalar</w:t>
      </w:r>
    </w:p>
    <w:p w:rsidR="00CA7950" w:rsidRDefault="00CA7950" w:rsidP="00CA7950">
      <w:pPr>
        <w:rPr>
          <w:rFonts w:ascii="Arial" w:hAnsi="Arial" w:cs="Arial"/>
          <w:sz w:val="24"/>
          <w:szCs w:val="24"/>
        </w:rPr>
      </w:pPr>
    </w:p>
    <w:p w:rsidR="00CA7950" w:rsidRDefault="00CA7950" w:rsidP="00CA7950">
      <w:pPr>
        <w:rPr>
          <w:rFonts w:ascii="Arial" w:hAnsi="Arial" w:cs="Arial"/>
          <w:sz w:val="24"/>
          <w:szCs w:val="24"/>
        </w:rPr>
      </w:pPr>
    </w:p>
    <w:p w:rsidR="00CA7950" w:rsidRDefault="00CA7950" w:rsidP="00CA7950">
      <w:pPr>
        <w:rPr>
          <w:rFonts w:ascii="Arial" w:hAnsi="Arial" w:cs="Arial"/>
          <w:sz w:val="24"/>
          <w:szCs w:val="24"/>
        </w:rPr>
      </w:pPr>
      <w:r>
        <w:rPr>
          <w:rFonts w:ascii="Arial" w:hAnsi="Arial" w:cs="Arial"/>
          <w:sz w:val="24"/>
          <w:szCs w:val="24"/>
        </w:rPr>
        <w:t>AB</w:t>
      </w:r>
      <w:r>
        <w:rPr>
          <w:rFonts w:ascii="Arial" w:hAnsi="Arial" w:cs="Arial"/>
          <w:sz w:val="24"/>
          <w:szCs w:val="24"/>
        </w:rPr>
        <w:tab/>
      </w:r>
      <w:r>
        <w:rPr>
          <w:rFonts w:ascii="Arial" w:hAnsi="Arial" w:cs="Arial"/>
          <w:sz w:val="24"/>
          <w:szCs w:val="24"/>
        </w:rPr>
        <w:tab/>
        <w:t>Avrupa Birliği</w:t>
      </w:r>
    </w:p>
    <w:p w:rsidR="00CA7950" w:rsidRDefault="00CA7950" w:rsidP="00CA7950">
      <w:pPr>
        <w:rPr>
          <w:rFonts w:ascii="Arial" w:hAnsi="Arial" w:cs="Arial"/>
          <w:sz w:val="24"/>
          <w:szCs w:val="24"/>
        </w:rPr>
      </w:pPr>
      <w:r>
        <w:rPr>
          <w:rFonts w:ascii="Arial" w:hAnsi="Arial" w:cs="Arial"/>
          <w:sz w:val="24"/>
          <w:szCs w:val="24"/>
        </w:rPr>
        <w:t>AİHM</w:t>
      </w:r>
      <w:r>
        <w:rPr>
          <w:rFonts w:ascii="Arial" w:hAnsi="Arial" w:cs="Arial"/>
          <w:sz w:val="24"/>
          <w:szCs w:val="24"/>
        </w:rPr>
        <w:tab/>
      </w:r>
      <w:r>
        <w:rPr>
          <w:rFonts w:ascii="Arial" w:hAnsi="Arial" w:cs="Arial"/>
          <w:sz w:val="24"/>
          <w:szCs w:val="24"/>
        </w:rPr>
        <w:tab/>
        <w:t>Avrupa İnsan Hakları Mahkemesi</w:t>
      </w:r>
    </w:p>
    <w:p w:rsidR="00CA7950" w:rsidRDefault="00CA7950" w:rsidP="00CA7950">
      <w:pPr>
        <w:rPr>
          <w:rFonts w:ascii="Arial" w:hAnsi="Arial" w:cs="Arial"/>
          <w:sz w:val="24"/>
          <w:szCs w:val="24"/>
        </w:rPr>
      </w:pPr>
      <w:r>
        <w:rPr>
          <w:rFonts w:ascii="Arial" w:hAnsi="Arial" w:cs="Arial"/>
          <w:sz w:val="24"/>
          <w:szCs w:val="24"/>
        </w:rPr>
        <w:t>AİHS</w:t>
      </w:r>
      <w:r>
        <w:rPr>
          <w:rFonts w:ascii="Arial" w:hAnsi="Arial" w:cs="Arial"/>
          <w:sz w:val="24"/>
          <w:szCs w:val="24"/>
        </w:rPr>
        <w:tab/>
      </w:r>
      <w:r>
        <w:rPr>
          <w:rFonts w:ascii="Arial" w:hAnsi="Arial" w:cs="Arial"/>
          <w:sz w:val="24"/>
          <w:szCs w:val="24"/>
        </w:rPr>
        <w:tab/>
        <w:t>Avrupa İnsan Hakları Sözleşmesi</w:t>
      </w:r>
    </w:p>
    <w:p w:rsidR="00D2648A" w:rsidRDefault="00D2648A" w:rsidP="00CA7950">
      <w:pPr>
        <w:rPr>
          <w:rFonts w:ascii="Arial" w:hAnsi="Arial" w:cs="Arial"/>
          <w:sz w:val="24"/>
          <w:szCs w:val="24"/>
        </w:rPr>
      </w:pPr>
      <w:r>
        <w:rPr>
          <w:rFonts w:ascii="Arial" w:hAnsi="Arial" w:cs="Arial"/>
          <w:sz w:val="24"/>
          <w:szCs w:val="24"/>
        </w:rPr>
        <w:t>BM</w:t>
      </w:r>
      <w:r>
        <w:rPr>
          <w:rFonts w:ascii="Arial" w:hAnsi="Arial" w:cs="Arial"/>
          <w:sz w:val="24"/>
          <w:szCs w:val="24"/>
        </w:rPr>
        <w:tab/>
      </w:r>
      <w:r>
        <w:rPr>
          <w:rFonts w:ascii="Arial" w:hAnsi="Arial" w:cs="Arial"/>
          <w:sz w:val="24"/>
          <w:szCs w:val="24"/>
        </w:rPr>
        <w:tab/>
        <w:t>Birleşmiş Milletler</w:t>
      </w:r>
    </w:p>
    <w:p w:rsidR="00CA7950" w:rsidRDefault="00CA7950" w:rsidP="00CA7950">
      <w:pPr>
        <w:rPr>
          <w:rFonts w:ascii="Arial" w:hAnsi="Arial" w:cs="Arial"/>
        </w:rPr>
      </w:pPr>
      <w:r w:rsidRPr="003F451C">
        <w:rPr>
          <w:rFonts w:ascii="Arial" w:hAnsi="Arial" w:cs="Arial"/>
          <w:sz w:val="24"/>
          <w:szCs w:val="24"/>
        </w:rPr>
        <w:t>EHİS</w:t>
      </w:r>
      <w:r>
        <w:rPr>
          <w:rFonts w:ascii="Arial" w:hAnsi="Arial" w:cs="Arial"/>
          <w:sz w:val="24"/>
          <w:szCs w:val="24"/>
        </w:rPr>
        <w:tab/>
      </w:r>
      <w:r>
        <w:rPr>
          <w:rFonts w:ascii="Arial" w:hAnsi="Arial" w:cs="Arial"/>
          <w:sz w:val="24"/>
          <w:szCs w:val="24"/>
        </w:rPr>
        <w:tab/>
        <w:t>Engelli Haklarına İlişkin Sözleşme</w:t>
      </w:r>
    </w:p>
    <w:p w:rsidR="00CA7950" w:rsidRDefault="00CA7950" w:rsidP="00CA7950">
      <w:pPr>
        <w:rPr>
          <w:rFonts w:ascii="Arial" w:hAnsi="Arial" w:cs="Arial"/>
          <w:sz w:val="24"/>
          <w:szCs w:val="24"/>
        </w:rPr>
      </w:pPr>
      <w:r w:rsidRPr="003F451C">
        <w:rPr>
          <w:rFonts w:ascii="Arial" w:hAnsi="Arial" w:cs="Arial"/>
        </w:rPr>
        <w:t>LGBTİ+</w:t>
      </w:r>
      <w:r>
        <w:rPr>
          <w:rFonts w:ascii="Arial" w:hAnsi="Arial" w:cs="Arial"/>
        </w:rPr>
        <w:tab/>
        <w:t>Lezbiyen, Gey, Biseksüel, Trans, İnterseks +</w:t>
      </w:r>
    </w:p>
    <w:p w:rsidR="00CA7950" w:rsidRPr="00345D75" w:rsidRDefault="00CA7950" w:rsidP="00CA7950">
      <w:pPr>
        <w:rPr>
          <w:rFonts w:ascii="Arial" w:hAnsi="Arial" w:cs="Arial"/>
          <w:sz w:val="24"/>
          <w:szCs w:val="24"/>
        </w:rPr>
      </w:pPr>
      <w:r w:rsidRPr="00345D75">
        <w:rPr>
          <w:rFonts w:ascii="Arial" w:hAnsi="Arial" w:cs="Arial"/>
          <w:sz w:val="24"/>
          <w:szCs w:val="24"/>
        </w:rPr>
        <w:t xml:space="preserve">TCK </w:t>
      </w:r>
      <w:r w:rsidRPr="00345D75">
        <w:rPr>
          <w:rFonts w:ascii="Arial" w:hAnsi="Arial" w:cs="Arial"/>
          <w:sz w:val="24"/>
          <w:szCs w:val="24"/>
        </w:rPr>
        <w:tab/>
      </w:r>
      <w:r w:rsidRPr="00345D75">
        <w:rPr>
          <w:rFonts w:ascii="Arial" w:hAnsi="Arial" w:cs="Arial"/>
          <w:sz w:val="24"/>
          <w:szCs w:val="24"/>
        </w:rPr>
        <w:tab/>
        <w:t>Türk Ceza Kanunu</w:t>
      </w:r>
    </w:p>
    <w:p w:rsidR="00CA7950" w:rsidRDefault="00CA7950" w:rsidP="00CA7950">
      <w:pPr>
        <w:rPr>
          <w:rFonts w:ascii="Arial" w:hAnsi="Arial" w:cs="Arial"/>
          <w:sz w:val="24"/>
          <w:szCs w:val="24"/>
        </w:rPr>
      </w:pPr>
      <w:r w:rsidRPr="00345D75">
        <w:rPr>
          <w:rFonts w:ascii="Arial" w:hAnsi="Arial" w:cs="Arial"/>
          <w:sz w:val="24"/>
          <w:szCs w:val="24"/>
        </w:rPr>
        <w:t>TİHEK</w:t>
      </w:r>
      <w:r w:rsidRPr="00345D75">
        <w:rPr>
          <w:rFonts w:ascii="Arial" w:hAnsi="Arial" w:cs="Arial"/>
          <w:sz w:val="24"/>
          <w:szCs w:val="24"/>
        </w:rPr>
        <w:tab/>
      </w:r>
      <w:r>
        <w:rPr>
          <w:rFonts w:ascii="Arial" w:hAnsi="Arial" w:cs="Arial"/>
          <w:sz w:val="24"/>
          <w:szCs w:val="24"/>
        </w:rPr>
        <w:tab/>
      </w:r>
      <w:r w:rsidRPr="00345D75">
        <w:rPr>
          <w:rFonts w:ascii="Arial" w:hAnsi="Arial" w:cs="Arial"/>
          <w:sz w:val="24"/>
          <w:szCs w:val="24"/>
        </w:rPr>
        <w:t>Türkiye İnsan Hakları ve Eşitlik Kurumu</w:t>
      </w:r>
    </w:p>
    <w:p w:rsidR="00CA7950" w:rsidRPr="00345D75" w:rsidRDefault="00CA7950" w:rsidP="00CA7950">
      <w:pPr>
        <w:rPr>
          <w:rFonts w:ascii="Arial" w:hAnsi="Arial" w:cs="Arial"/>
          <w:sz w:val="24"/>
          <w:szCs w:val="24"/>
        </w:rPr>
      </w:pPr>
      <w:r>
        <w:rPr>
          <w:rFonts w:ascii="Arial" w:hAnsi="Arial" w:cs="Arial"/>
          <w:sz w:val="24"/>
          <w:szCs w:val="24"/>
        </w:rPr>
        <w:t>YSK</w:t>
      </w:r>
      <w:r>
        <w:rPr>
          <w:rFonts w:ascii="Arial" w:hAnsi="Arial" w:cs="Arial"/>
          <w:sz w:val="24"/>
          <w:szCs w:val="24"/>
        </w:rPr>
        <w:tab/>
      </w:r>
      <w:r>
        <w:rPr>
          <w:rFonts w:ascii="Arial" w:hAnsi="Arial" w:cs="Arial"/>
          <w:sz w:val="24"/>
          <w:szCs w:val="24"/>
        </w:rPr>
        <w:tab/>
        <w:t>Yüksek Seçim Kurulu</w:t>
      </w:r>
    </w:p>
    <w:p w:rsidR="00CA7950" w:rsidRPr="00345D75" w:rsidRDefault="00CA7950" w:rsidP="00CA7950">
      <w:pPr>
        <w:rPr>
          <w:rFonts w:ascii="Arial" w:hAnsi="Arial" w:cs="Arial"/>
          <w:sz w:val="24"/>
          <w:szCs w:val="24"/>
        </w:rPr>
      </w:pPr>
      <w:r w:rsidRPr="00345D75">
        <w:rPr>
          <w:rFonts w:ascii="Arial" w:hAnsi="Arial" w:cs="Arial"/>
          <w:sz w:val="24"/>
          <w:szCs w:val="24"/>
        </w:rPr>
        <w:br w:type="page"/>
      </w:r>
    </w:p>
    <w:p w:rsidR="00730FFE" w:rsidRPr="003F451C" w:rsidRDefault="00730FFE" w:rsidP="00A02A40">
      <w:pPr>
        <w:pStyle w:val="Balk1"/>
        <w:spacing w:line="276" w:lineRule="auto"/>
        <w:jc w:val="both"/>
        <w:rPr>
          <w:rFonts w:ascii="Arial" w:hAnsi="Arial" w:cs="Arial"/>
          <w:b/>
          <w:sz w:val="24"/>
          <w:szCs w:val="24"/>
        </w:rPr>
      </w:pPr>
      <w:r w:rsidRPr="003F451C">
        <w:rPr>
          <w:rFonts w:ascii="Arial" w:hAnsi="Arial" w:cs="Arial"/>
          <w:b/>
          <w:sz w:val="24"/>
          <w:szCs w:val="24"/>
        </w:rPr>
        <w:lastRenderedPageBreak/>
        <w:t>Ayrımcılık Yasağı;</w:t>
      </w:r>
    </w:p>
    <w:p w:rsidR="00730FFE" w:rsidRPr="003F451C" w:rsidRDefault="00730FFE" w:rsidP="00A02A40">
      <w:pPr>
        <w:pStyle w:val="Balk1"/>
        <w:spacing w:line="276" w:lineRule="auto"/>
        <w:jc w:val="both"/>
        <w:rPr>
          <w:rFonts w:ascii="Arial" w:hAnsi="Arial" w:cs="Arial"/>
          <w:b/>
          <w:sz w:val="24"/>
          <w:szCs w:val="24"/>
        </w:rPr>
      </w:pPr>
      <w:r w:rsidRPr="003F451C">
        <w:rPr>
          <w:rFonts w:ascii="Arial" w:hAnsi="Arial" w:cs="Arial"/>
          <w:b/>
          <w:sz w:val="24"/>
          <w:szCs w:val="24"/>
        </w:rPr>
        <w:t>Irk, Etnik, Din ve İnanç Temelli Ayrımcılık</w:t>
      </w:r>
    </w:p>
    <w:p w:rsidR="00351352" w:rsidRPr="003F451C" w:rsidRDefault="00351352" w:rsidP="00A02A40">
      <w:pPr>
        <w:spacing w:line="276" w:lineRule="auto"/>
        <w:jc w:val="both"/>
      </w:pPr>
    </w:p>
    <w:p w:rsidR="00DB7BD5" w:rsidRPr="003F451C" w:rsidRDefault="00730FFE" w:rsidP="00A02A40">
      <w:pPr>
        <w:pStyle w:val="ListeParagraf"/>
        <w:numPr>
          <w:ilvl w:val="0"/>
          <w:numId w:val="10"/>
        </w:numPr>
        <w:spacing w:line="276" w:lineRule="auto"/>
        <w:jc w:val="both"/>
        <w:rPr>
          <w:rFonts w:ascii="Arial" w:hAnsi="Arial" w:cs="Arial"/>
          <w:sz w:val="24"/>
          <w:szCs w:val="24"/>
        </w:rPr>
      </w:pPr>
      <w:r w:rsidRPr="003F451C">
        <w:rPr>
          <w:rFonts w:ascii="Arial" w:hAnsi="Arial" w:cs="Arial"/>
          <w:sz w:val="24"/>
          <w:szCs w:val="24"/>
        </w:rPr>
        <w:t>Türkiye, taraf olduğu uluslararası sözleşmelerde, özellikle azınlıklar ile ilgili maddelere koyduğu çekinceler yoluyla, bu kapsamdaki yükümlülüklerini sınırlamaktadır.</w:t>
      </w:r>
      <w:r w:rsidRPr="003F451C">
        <w:rPr>
          <w:rStyle w:val="DipnotBavurusu"/>
          <w:rFonts w:ascii="Arial" w:hAnsi="Arial" w:cs="Arial"/>
          <w:sz w:val="24"/>
          <w:szCs w:val="24"/>
        </w:rPr>
        <w:footnoteReference w:id="1"/>
      </w:r>
      <w:r w:rsidRPr="003F451C">
        <w:rPr>
          <w:rFonts w:ascii="Arial" w:hAnsi="Arial" w:cs="Arial"/>
          <w:sz w:val="24"/>
          <w:szCs w:val="24"/>
        </w:rPr>
        <w:t xml:space="preserve"> 1923 tarihli Lozan Anlaşması uyarınca, tanınan azınlıklar </w:t>
      </w:r>
      <w:r w:rsidR="004273AC" w:rsidRPr="003F451C">
        <w:rPr>
          <w:rFonts w:ascii="Arial" w:hAnsi="Arial" w:cs="Arial"/>
          <w:sz w:val="24"/>
          <w:szCs w:val="24"/>
        </w:rPr>
        <w:t xml:space="preserve">sadece </w:t>
      </w:r>
      <w:r w:rsidRPr="003F451C">
        <w:rPr>
          <w:rFonts w:ascii="Arial" w:hAnsi="Arial" w:cs="Arial"/>
          <w:sz w:val="24"/>
          <w:szCs w:val="24"/>
        </w:rPr>
        <w:t>Musevi, Ermeni ve Rumlar</w:t>
      </w:r>
      <w:r w:rsidR="004273AC" w:rsidRPr="003F451C">
        <w:rPr>
          <w:rFonts w:ascii="Arial" w:hAnsi="Arial" w:cs="Arial"/>
          <w:sz w:val="24"/>
          <w:szCs w:val="24"/>
        </w:rPr>
        <w:t xml:space="preserve"> olup, bu gruplar dışında</w:t>
      </w:r>
      <w:r w:rsidR="00B25276" w:rsidRPr="003F451C">
        <w:rPr>
          <w:rFonts w:ascii="Arial" w:hAnsi="Arial" w:cs="Arial"/>
          <w:sz w:val="24"/>
          <w:szCs w:val="24"/>
        </w:rPr>
        <w:t xml:space="preserve"> hiçbir etnik ve dini grup, Türkiye tarafından</w:t>
      </w:r>
      <w:r w:rsidRPr="003F451C">
        <w:rPr>
          <w:rFonts w:ascii="Arial" w:hAnsi="Arial" w:cs="Arial"/>
          <w:sz w:val="24"/>
          <w:szCs w:val="24"/>
        </w:rPr>
        <w:t xml:space="preserve"> azınlık olarak tanımamaktadır. Bu üç grubun dışında kalan Aleviler, Arnavutlar, Çerkezler, Kürtler, Lazlar, Romanlar ve Süryaniler gibi önemli nüfus büyüklüğüne sahip gruplar</w:t>
      </w:r>
      <w:r w:rsidR="00EB1CB7">
        <w:rPr>
          <w:rFonts w:ascii="Arial" w:hAnsi="Arial" w:cs="Arial"/>
          <w:sz w:val="24"/>
          <w:szCs w:val="24"/>
        </w:rPr>
        <w:t>,</w:t>
      </w:r>
      <w:r w:rsidRPr="003F451C">
        <w:rPr>
          <w:rFonts w:ascii="Arial" w:hAnsi="Arial" w:cs="Arial"/>
          <w:sz w:val="24"/>
          <w:szCs w:val="24"/>
        </w:rPr>
        <w:t xml:space="preserve"> herhangi bir statüye sahip değildir.</w:t>
      </w:r>
    </w:p>
    <w:p w:rsidR="00DB7BD5" w:rsidRPr="003F451C" w:rsidRDefault="00DB7BD5" w:rsidP="00A02A40">
      <w:pPr>
        <w:pStyle w:val="ListeParagraf"/>
        <w:spacing w:line="276" w:lineRule="auto"/>
        <w:jc w:val="both"/>
        <w:rPr>
          <w:rFonts w:ascii="Arial" w:hAnsi="Arial" w:cs="Arial"/>
          <w:sz w:val="24"/>
          <w:szCs w:val="24"/>
        </w:rPr>
      </w:pPr>
    </w:p>
    <w:p w:rsidR="00DB7BD5" w:rsidRPr="003F451C" w:rsidRDefault="00730FFE" w:rsidP="00A02A40">
      <w:pPr>
        <w:pStyle w:val="ListeParagraf"/>
        <w:numPr>
          <w:ilvl w:val="0"/>
          <w:numId w:val="10"/>
        </w:numPr>
        <w:spacing w:line="276" w:lineRule="auto"/>
        <w:jc w:val="both"/>
        <w:rPr>
          <w:rFonts w:ascii="Arial" w:hAnsi="Arial" w:cs="Arial"/>
          <w:sz w:val="24"/>
          <w:szCs w:val="24"/>
        </w:rPr>
      </w:pPr>
      <w:r w:rsidRPr="003F451C">
        <w:rPr>
          <w:rFonts w:ascii="Arial" w:hAnsi="Arial" w:cs="Arial"/>
          <w:sz w:val="24"/>
          <w:szCs w:val="24"/>
        </w:rPr>
        <w:t>Türkiye’de Anayasa</w:t>
      </w:r>
      <w:r w:rsidRPr="003F451C">
        <w:rPr>
          <w:rStyle w:val="DipnotBavurusu"/>
          <w:rFonts w:ascii="Arial" w:hAnsi="Arial" w:cs="Arial"/>
          <w:sz w:val="24"/>
          <w:szCs w:val="24"/>
        </w:rPr>
        <w:footnoteReference w:id="2"/>
      </w:r>
      <w:r w:rsidRPr="003F451C">
        <w:rPr>
          <w:rFonts w:ascii="Arial" w:hAnsi="Arial" w:cs="Arial"/>
          <w:sz w:val="24"/>
          <w:szCs w:val="24"/>
        </w:rPr>
        <w:t xml:space="preserve"> başta olmak üzere ayrımcılık yasağı birçok kanunda yer almaktadır. Ancak, Anayasa ve kanunlardaki düzenlemeler, genel eşitlik düzenlemeleri olup, uluslararası standartlara uygun değildir ve tüm ayrımcılık temellerini kapsamamaktadır. Örneğin</w:t>
      </w:r>
      <w:r w:rsidR="00EB1CB7">
        <w:rPr>
          <w:rFonts w:ascii="Arial" w:hAnsi="Arial" w:cs="Arial"/>
          <w:sz w:val="24"/>
          <w:szCs w:val="24"/>
        </w:rPr>
        <w:t>,</w:t>
      </w:r>
      <w:r w:rsidRPr="003F451C">
        <w:rPr>
          <w:rFonts w:ascii="Arial" w:hAnsi="Arial" w:cs="Arial"/>
          <w:sz w:val="24"/>
          <w:szCs w:val="24"/>
        </w:rPr>
        <w:t xml:space="preserve"> </w:t>
      </w:r>
      <w:r w:rsidR="00EB1CB7">
        <w:rPr>
          <w:rFonts w:ascii="Arial" w:hAnsi="Arial" w:cs="Arial"/>
          <w:sz w:val="24"/>
          <w:szCs w:val="24"/>
        </w:rPr>
        <w:t>e</w:t>
      </w:r>
      <w:r w:rsidRPr="003F451C">
        <w:rPr>
          <w:rFonts w:ascii="Arial" w:hAnsi="Arial" w:cs="Arial"/>
          <w:sz w:val="24"/>
          <w:szCs w:val="24"/>
        </w:rPr>
        <w:t>tnik köken belirtilen düzenlemelerin hiçbirinde bir ayrımcılık temeli olarak yer almamaktadır</w:t>
      </w:r>
      <w:r w:rsidR="00675B47">
        <w:rPr>
          <w:rFonts w:ascii="Arial" w:hAnsi="Arial" w:cs="Arial"/>
          <w:sz w:val="24"/>
          <w:szCs w:val="24"/>
        </w:rPr>
        <w:t>.</w:t>
      </w:r>
      <w:r w:rsidRPr="003F451C">
        <w:rPr>
          <w:rFonts w:ascii="Arial" w:hAnsi="Arial" w:cs="Arial"/>
          <w:sz w:val="24"/>
          <w:szCs w:val="24"/>
        </w:rPr>
        <w:t xml:space="preserve"> 2015 oturumunda bu konuda verilen tavsiyelerin kabul edilmesine rağmen hiçbir gelişme kaydedilmemiştir.</w:t>
      </w:r>
      <w:r w:rsidRPr="003F451C">
        <w:rPr>
          <w:rStyle w:val="DipnotBavurusu"/>
          <w:rFonts w:ascii="Arial" w:hAnsi="Arial" w:cs="Arial"/>
          <w:sz w:val="24"/>
          <w:szCs w:val="24"/>
        </w:rPr>
        <w:footnoteReference w:id="3"/>
      </w:r>
      <w:r w:rsidRPr="003F451C">
        <w:rPr>
          <w:rFonts w:ascii="Arial" w:hAnsi="Arial" w:cs="Arial"/>
          <w:sz w:val="24"/>
          <w:szCs w:val="24"/>
        </w:rPr>
        <w:t xml:space="preserve"> Yapılan bütün araştırmalar</w:t>
      </w:r>
      <w:r w:rsidR="00476606" w:rsidRPr="003F451C">
        <w:rPr>
          <w:rFonts w:ascii="Arial" w:hAnsi="Arial" w:cs="Arial"/>
          <w:sz w:val="24"/>
          <w:szCs w:val="24"/>
        </w:rPr>
        <w:t>,</w:t>
      </w:r>
      <w:r w:rsidRPr="003F451C">
        <w:rPr>
          <w:rFonts w:ascii="Arial" w:hAnsi="Arial" w:cs="Arial"/>
          <w:sz w:val="24"/>
          <w:szCs w:val="24"/>
        </w:rPr>
        <w:t xml:space="preserve"> halen ayrımcılığın yaygın bir olgu olduğunu, inanç ve etnik temelli ayrımcılığın </w:t>
      </w:r>
      <w:r w:rsidR="00C9309F" w:rsidRPr="003F451C">
        <w:rPr>
          <w:rFonts w:ascii="Arial" w:hAnsi="Arial" w:cs="Arial"/>
          <w:sz w:val="24"/>
          <w:szCs w:val="24"/>
        </w:rPr>
        <w:t xml:space="preserve">ise </w:t>
      </w:r>
      <w:r w:rsidRPr="003F451C">
        <w:rPr>
          <w:rFonts w:ascii="Arial" w:hAnsi="Arial" w:cs="Arial"/>
          <w:sz w:val="24"/>
          <w:szCs w:val="24"/>
        </w:rPr>
        <w:t>en yaygın ayrımcılık temellerinden iki</w:t>
      </w:r>
      <w:r w:rsidR="008A5F02" w:rsidRPr="003F451C">
        <w:rPr>
          <w:rFonts w:ascii="Arial" w:hAnsi="Arial" w:cs="Arial"/>
          <w:sz w:val="24"/>
          <w:szCs w:val="24"/>
        </w:rPr>
        <w:t>si</w:t>
      </w:r>
      <w:r w:rsidRPr="003F451C">
        <w:rPr>
          <w:rFonts w:ascii="Arial" w:hAnsi="Arial" w:cs="Arial"/>
          <w:sz w:val="24"/>
          <w:szCs w:val="24"/>
        </w:rPr>
        <w:t xml:space="preserve"> olduğunu göstermektedir. </w:t>
      </w:r>
    </w:p>
    <w:p w:rsidR="00DB7BD5" w:rsidRPr="003F451C" w:rsidRDefault="00DB7BD5" w:rsidP="00A02A40">
      <w:pPr>
        <w:pStyle w:val="ListeParagraf"/>
        <w:spacing w:line="276" w:lineRule="auto"/>
        <w:jc w:val="both"/>
        <w:rPr>
          <w:rFonts w:ascii="Arial" w:hAnsi="Arial" w:cs="Arial"/>
          <w:sz w:val="24"/>
          <w:szCs w:val="24"/>
        </w:rPr>
      </w:pPr>
    </w:p>
    <w:p w:rsidR="00DB7BD5" w:rsidRPr="003F451C" w:rsidRDefault="00730FFE" w:rsidP="00A02A40">
      <w:pPr>
        <w:pStyle w:val="ListeParagraf"/>
        <w:numPr>
          <w:ilvl w:val="0"/>
          <w:numId w:val="10"/>
        </w:numPr>
        <w:spacing w:line="276" w:lineRule="auto"/>
        <w:jc w:val="both"/>
        <w:rPr>
          <w:rFonts w:ascii="Arial" w:hAnsi="Arial" w:cs="Arial"/>
          <w:sz w:val="24"/>
          <w:szCs w:val="24"/>
        </w:rPr>
      </w:pPr>
      <w:r w:rsidRPr="003F451C">
        <w:rPr>
          <w:rFonts w:ascii="Arial" w:hAnsi="Arial" w:cs="Arial"/>
          <w:sz w:val="24"/>
          <w:szCs w:val="24"/>
        </w:rPr>
        <w:t xml:space="preserve">Kanunlarda ayrımcılık tanımları yer almamakta (doğrudan, dolaylı ayrımcılık </w:t>
      </w:r>
      <w:r w:rsidR="00DA11F3" w:rsidRPr="003F451C">
        <w:rPr>
          <w:rFonts w:ascii="Arial" w:hAnsi="Arial" w:cs="Arial"/>
          <w:sz w:val="24"/>
          <w:szCs w:val="24"/>
        </w:rPr>
        <w:t>vb.</w:t>
      </w:r>
      <w:r w:rsidRPr="003F451C">
        <w:rPr>
          <w:rFonts w:ascii="Arial" w:hAnsi="Arial" w:cs="Arial"/>
          <w:sz w:val="24"/>
          <w:szCs w:val="24"/>
        </w:rPr>
        <w:t>), ispat yükünün yer değiştirmesi ilkesi sadece kısmi olarak İş Kanunu’nda bulunmaktadır.</w:t>
      </w:r>
      <w:r w:rsidRPr="003F451C">
        <w:rPr>
          <w:rStyle w:val="DipnotBavurusu"/>
          <w:rFonts w:ascii="Arial" w:hAnsi="Arial" w:cs="Arial"/>
          <w:sz w:val="24"/>
          <w:szCs w:val="24"/>
        </w:rPr>
        <w:footnoteReference w:id="4"/>
      </w:r>
    </w:p>
    <w:p w:rsidR="00DB7BD5" w:rsidRPr="003F451C" w:rsidRDefault="00DB7BD5" w:rsidP="00A02A40">
      <w:pPr>
        <w:pStyle w:val="ListeParagraf"/>
        <w:spacing w:line="276" w:lineRule="auto"/>
        <w:jc w:val="both"/>
        <w:rPr>
          <w:rFonts w:ascii="Arial" w:hAnsi="Arial" w:cs="Arial"/>
          <w:sz w:val="24"/>
          <w:szCs w:val="24"/>
        </w:rPr>
      </w:pPr>
    </w:p>
    <w:p w:rsidR="00DB7BD5" w:rsidRPr="003F451C" w:rsidRDefault="00730FFE" w:rsidP="00A02A40">
      <w:pPr>
        <w:pStyle w:val="ListeParagraf"/>
        <w:numPr>
          <w:ilvl w:val="0"/>
          <w:numId w:val="10"/>
        </w:numPr>
        <w:spacing w:line="276" w:lineRule="auto"/>
        <w:jc w:val="both"/>
        <w:rPr>
          <w:rFonts w:ascii="Arial" w:hAnsi="Arial" w:cs="Arial"/>
          <w:sz w:val="24"/>
          <w:szCs w:val="24"/>
        </w:rPr>
      </w:pPr>
      <w:r w:rsidRPr="003F451C">
        <w:rPr>
          <w:rFonts w:ascii="Arial" w:hAnsi="Arial" w:cs="Arial"/>
          <w:sz w:val="24"/>
          <w:szCs w:val="24"/>
        </w:rPr>
        <w:t>TCK</w:t>
      </w:r>
      <w:r w:rsidRPr="003F451C">
        <w:rPr>
          <w:rStyle w:val="DipnotBavurusu"/>
          <w:rFonts w:ascii="Arial" w:hAnsi="Arial" w:cs="Arial"/>
          <w:sz w:val="24"/>
          <w:szCs w:val="24"/>
        </w:rPr>
        <w:footnoteReference w:id="5"/>
      </w:r>
      <w:r w:rsidRPr="003F451C">
        <w:rPr>
          <w:rFonts w:ascii="Arial" w:hAnsi="Arial" w:cs="Arial"/>
          <w:sz w:val="24"/>
          <w:szCs w:val="24"/>
        </w:rPr>
        <w:t xml:space="preserve"> Md. 122’de sınırlı bir kapsamda ayrımcılık suçu düzenlenmiştir.</w:t>
      </w:r>
      <w:r w:rsidRPr="003F451C">
        <w:rPr>
          <w:rStyle w:val="DipnotBavurusu"/>
          <w:rFonts w:ascii="Arial" w:hAnsi="Arial" w:cs="Arial"/>
          <w:sz w:val="24"/>
          <w:szCs w:val="24"/>
        </w:rPr>
        <w:footnoteReference w:id="6"/>
      </w:r>
      <w:r w:rsidRPr="003F451C">
        <w:rPr>
          <w:rFonts w:ascii="Arial" w:hAnsi="Arial" w:cs="Arial"/>
          <w:sz w:val="24"/>
          <w:szCs w:val="24"/>
        </w:rPr>
        <w:t xml:space="preserve"> 2014 yılında yapılan değişiklik ile kanunda belirtilen ayrımcılık temellerinin sonundaki “</w:t>
      </w:r>
      <w:r w:rsidRPr="003F451C">
        <w:rPr>
          <w:rFonts w:ascii="Arial" w:hAnsi="Arial" w:cs="Arial"/>
          <w:i/>
          <w:sz w:val="24"/>
          <w:szCs w:val="24"/>
        </w:rPr>
        <w:t>ve benzeri</w:t>
      </w:r>
      <w:r w:rsidRPr="003F451C">
        <w:rPr>
          <w:rFonts w:ascii="Arial" w:hAnsi="Arial" w:cs="Arial"/>
          <w:sz w:val="24"/>
          <w:szCs w:val="24"/>
        </w:rPr>
        <w:t>” ifadesi kaldırılarak, “</w:t>
      </w:r>
      <w:r w:rsidRPr="003F451C">
        <w:rPr>
          <w:rFonts w:ascii="Arial" w:hAnsi="Arial" w:cs="Arial"/>
          <w:i/>
          <w:sz w:val="24"/>
          <w:szCs w:val="24"/>
        </w:rPr>
        <w:t>nefret</w:t>
      </w:r>
      <w:r w:rsidRPr="003F451C">
        <w:rPr>
          <w:rFonts w:ascii="Arial" w:hAnsi="Arial" w:cs="Arial"/>
          <w:sz w:val="24"/>
          <w:szCs w:val="24"/>
        </w:rPr>
        <w:t xml:space="preserve">” ibaresi eklenmiştir. Bu değişikle </w:t>
      </w:r>
      <w:r w:rsidRPr="003F451C">
        <w:rPr>
          <w:rFonts w:ascii="Arial" w:hAnsi="Arial" w:cs="Arial"/>
          <w:sz w:val="24"/>
          <w:szCs w:val="24"/>
        </w:rPr>
        <w:lastRenderedPageBreak/>
        <w:t xml:space="preserve">ayrımcılık suçunun kapsamı daraltılmış ve sadece nefret saikinin varlığı ile cezalandırılmasının önü açılmıştır.  </w:t>
      </w:r>
    </w:p>
    <w:p w:rsidR="00DB7BD5" w:rsidRPr="003F451C" w:rsidRDefault="00DB7BD5" w:rsidP="00A02A40">
      <w:pPr>
        <w:pStyle w:val="ListeParagraf"/>
        <w:spacing w:line="276" w:lineRule="auto"/>
        <w:jc w:val="both"/>
        <w:rPr>
          <w:rFonts w:ascii="Arial" w:hAnsi="Arial" w:cs="Arial"/>
          <w:sz w:val="24"/>
          <w:szCs w:val="24"/>
        </w:rPr>
      </w:pPr>
    </w:p>
    <w:p w:rsidR="00DB7BD5" w:rsidRPr="003F451C" w:rsidRDefault="00730FFE" w:rsidP="00A02A40">
      <w:pPr>
        <w:pStyle w:val="ListeParagraf"/>
        <w:numPr>
          <w:ilvl w:val="0"/>
          <w:numId w:val="10"/>
        </w:numPr>
        <w:spacing w:line="276" w:lineRule="auto"/>
        <w:jc w:val="both"/>
        <w:rPr>
          <w:rFonts w:ascii="Arial" w:hAnsi="Arial" w:cs="Arial"/>
          <w:sz w:val="24"/>
          <w:szCs w:val="24"/>
        </w:rPr>
      </w:pPr>
      <w:r w:rsidRPr="003F451C">
        <w:rPr>
          <w:rFonts w:ascii="Arial" w:hAnsi="Arial" w:cs="Arial"/>
          <w:sz w:val="24"/>
          <w:szCs w:val="24"/>
        </w:rPr>
        <w:t>Adli soruşturma makamları ile ulusal önleme mekanizmaları, ayrımcılık suçuna ilişkin iddialar konusunda etkili bir soruşturma yürütmemektedir ve ayrımcılık suçlarına ilişkin vakalar sıklıkla cezasızlık ile sonuçlanmaktadır. TCK Md. 122 gereğince verilen hiçbir mahkeme kararı ya da TİHEK</w:t>
      </w:r>
      <w:r w:rsidRPr="003F451C">
        <w:rPr>
          <w:rStyle w:val="DipnotBavurusu"/>
          <w:rFonts w:ascii="Arial" w:hAnsi="Arial" w:cs="Arial"/>
          <w:sz w:val="24"/>
          <w:szCs w:val="24"/>
        </w:rPr>
        <w:footnoteReference w:id="7"/>
      </w:r>
      <w:r w:rsidRPr="003F451C">
        <w:rPr>
          <w:rFonts w:ascii="Arial" w:hAnsi="Arial" w:cs="Arial"/>
          <w:sz w:val="24"/>
          <w:szCs w:val="24"/>
        </w:rPr>
        <w:t xml:space="preserve"> tarafından alınmış herhangi bir ayrımcılık kararı bulunmamaktadır. TİHEK</w:t>
      </w:r>
      <w:r w:rsidR="001070C7">
        <w:rPr>
          <w:rFonts w:ascii="Arial" w:hAnsi="Arial" w:cs="Arial"/>
          <w:sz w:val="24"/>
          <w:szCs w:val="24"/>
        </w:rPr>
        <w:t>,</w:t>
      </w:r>
      <w:r w:rsidRPr="003F451C">
        <w:rPr>
          <w:rFonts w:ascii="Arial" w:hAnsi="Arial" w:cs="Arial"/>
          <w:sz w:val="24"/>
          <w:szCs w:val="24"/>
        </w:rPr>
        <w:t xml:space="preserve"> 2019 yılında seçim kampanyalarında siyasi partiler, adaylar ve medya organlarında kullanılan ırkçı söylem ve nefret söyleminin engellenmesi için çerçeve oluşturulmasın</w:t>
      </w:r>
      <w:r w:rsidR="00FB1824">
        <w:rPr>
          <w:rFonts w:ascii="Arial" w:hAnsi="Arial" w:cs="Arial"/>
          <w:sz w:val="24"/>
          <w:szCs w:val="24"/>
        </w:rPr>
        <w:t>a ilişkin</w:t>
      </w:r>
      <w:r w:rsidRPr="003F451C">
        <w:rPr>
          <w:rFonts w:ascii="Arial" w:hAnsi="Arial" w:cs="Arial"/>
          <w:sz w:val="24"/>
          <w:szCs w:val="24"/>
        </w:rPr>
        <w:t xml:space="preserve"> başvuru</w:t>
      </w:r>
      <w:r w:rsidR="00FB1824">
        <w:rPr>
          <w:rFonts w:ascii="Arial" w:hAnsi="Arial" w:cs="Arial"/>
          <w:sz w:val="24"/>
          <w:szCs w:val="24"/>
        </w:rPr>
        <w:t>yu</w:t>
      </w:r>
      <w:r w:rsidRPr="003F451C">
        <w:rPr>
          <w:rFonts w:ascii="Arial" w:hAnsi="Arial" w:cs="Arial"/>
          <w:sz w:val="24"/>
          <w:szCs w:val="24"/>
        </w:rPr>
        <w:t xml:space="preserve"> re</w:t>
      </w:r>
      <w:r w:rsidR="00EE47CF" w:rsidRPr="003F451C">
        <w:rPr>
          <w:rFonts w:ascii="Arial" w:hAnsi="Arial" w:cs="Arial"/>
          <w:sz w:val="24"/>
          <w:szCs w:val="24"/>
        </w:rPr>
        <w:t xml:space="preserve">ddetmiştir. </w:t>
      </w:r>
    </w:p>
    <w:p w:rsidR="00DB7BD5" w:rsidRPr="003F451C" w:rsidRDefault="00DB7BD5" w:rsidP="00A02A40">
      <w:pPr>
        <w:pStyle w:val="ListeParagraf"/>
        <w:spacing w:line="276" w:lineRule="auto"/>
        <w:jc w:val="both"/>
        <w:rPr>
          <w:rFonts w:ascii="Arial" w:hAnsi="Arial" w:cs="Arial"/>
          <w:sz w:val="24"/>
          <w:szCs w:val="24"/>
        </w:rPr>
      </w:pPr>
    </w:p>
    <w:p w:rsidR="00DB7BD5" w:rsidRPr="003F451C" w:rsidRDefault="00730FFE" w:rsidP="00A02A40">
      <w:pPr>
        <w:pStyle w:val="ListeParagraf"/>
        <w:numPr>
          <w:ilvl w:val="0"/>
          <w:numId w:val="10"/>
        </w:numPr>
        <w:spacing w:line="276" w:lineRule="auto"/>
        <w:jc w:val="both"/>
        <w:rPr>
          <w:rFonts w:ascii="Arial" w:hAnsi="Arial" w:cs="Arial"/>
          <w:sz w:val="24"/>
          <w:szCs w:val="24"/>
        </w:rPr>
      </w:pPr>
      <w:r w:rsidRPr="003F451C">
        <w:rPr>
          <w:rFonts w:ascii="Arial" w:hAnsi="Arial" w:cs="Arial"/>
          <w:sz w:val="24"/>
          <w:szCs w:val="24"/>
        </w:rPr>
        <w:t>Irk, etnik, din ve inanç temelinde ayrıştırılmış veri toplanmamaktadır, ya da toplanan veri kamu ile paylaşılmamaktadır. Bu durum, hem devletin hem de sivil toplum örgütlerinin hedef odaklı çalışması ve çözüm üretmesinin önüne geçmektedir. Oluşturulan politika belgeleri ve eylem planları ise, kesişimsel bakış açısından uzak, uygulamada sağladığı başarı ise yetersizdir. Örneğin, Nisan 2016’da kabul edilen Roman Vatandaşlarına Yönelik Strateji Belgesi’nde, uygulamanın izlenmesine dair bir bölüm bulunmamakta, bu tarihten sonra Belge’nin yoğunlaştığı barınma, istihdam, eğitim ve ayrımcılık alanında karşılaşılan problemlerin azalmadığı görülmüştür.</w:t>
      </w:r>
      <w:r w:rsidRPr="003F451C">
        <w:rPr>
          <w:rStyle w:val="DipnotBavurusu"/>
          <w:rFonts w:ascii="Arial" w:hAnsi="Arial" w:cs="Arial"/>
          <w:sz w:val="24"/>
          <w:szCs w:val="24"/>
        </w:rPr>
        <w:footnoteReference w:id="8"/>
      </w:r>
      <w:r w:rsidRPr="003F451C">
        <w:rPr>
          <w:rFonts w:ascii="Arial" w:hAnsi="Arial" w:cs="Arial"/>
          <w:sz w:val="24"/>
          <w:szCs w:val="24"/>
          <w:vertAlign w:val="superscript"/>
        </w:rPr>
        <w:t xml:space="preserve"> </w:t>
      </w:r>
    </w:p>
    <w:p w:rsidR="00DB7BD5" w:rsidRPr="003F451C" w:rsidRDefault="00DB7BD5" w:rsidP="00A02A40">
      <w:pPr>
        <w:pStyle w:val="ListeParagraf"/>
        <w:spacing w:line="276" w:lineRule="auto"/>
        <w:jc w:val="both"/>
        <w:rPr>
          <w:rFonts w:ascii="Arial" w:hAnsi="Arial" w:cs="Arial"/>
          <w:sz w:val="24"/>
          <w:szCs w:val="24"/>
        </w:rPr>
      </w:pPr>
    </w:p>
    <w:p w:rsidR="00730FFE" w:rsidRPr="003F451C" w:rsidRDefault="00730FFE" w:rsidP="00A02A40">
      <w:pPr>
        <w:pStyle w:val="ListeParagraf"/>
        <w:numPr>
          <w:ilvl w:val="0"/>
          <w:numId w:val="10"/>
        </w:numPr>
        <w:spacing w:line="276" w:lineRule="auto"/>
        <w:jc w:val="both"/>
        <w:rPr>
          <w:rFonts w:ascii="Arial" w:hAnsi="Arial" w:cs="Arial"/>
          <w:sz w:val="24"/>
          <w:szCs w:val="24"/>
        </w:rPr>
      </w:pPr>
      <w:r w:rsidRPr="003F451C">
        <w:rPr>
          <w:rFonts w:ascii="Arial" w:hAnsi="Arial" w:cs="Arial"/>
          <w:sz w:val="24"/>
          <w:szCs w:val="24"/>
        </w:rPr>
        <w:t>Dini azınlık gruplarının ibadet yerlerine resmi statü tanınması hususu, 2015 döngüsünde birçok tavsiyeye konu olup, hâlihazırda uygulandığına ilişkin beyan verilmesine rağmen</w:t>
      </w:r>
      <w:r w:rsidRPr="003F451C">
        <w:rPr>
          <w:rStyle w:val="DipnotBavurusu"/>
          <w:rFonts w:ascii="Arial" w:hAnsi="Arial" w:cs="Arial"/>
          <w:sz w:val="24"/>
          <w:szCs w:val="24"/>
        </w:rPr>
        <w:footnoteReference w:id="9"/>
      </w:r>
      <w:r w:rsidRPr="003F451C">
        <w:rPr>
          <w:rFonts w:ascii="Arial" w:hAnsi="Arial" w:cs="Arial"/>
          <w:sz w:val="24"/>
          <w:szCs w:val="24"/>
        </w:rPr>
        <w:t xml:space="preserve">, bu konudaki engeller sistematik olarak devam etmiş, hiçbir gelişme kaydedilmemiştir. Eğitim konusunda ise, devlet okullarındaki zorunlu din dersleri uygulaması devam etmekte, verilen eğitim, Türkiye’deki dini çeşitliliğin aksine, sadece Sünni Müslüman inancına odaklanmaktadır. </w:t>
      </w:r>
    </w:p>
    <w:p w:rsidR="00730FFE" w:rsidRPr="003F451C" w:rsidRDefault="00730FFE" w:rsidP="00A02A40">
      <w:pPr>
        <w:spacing w:line="276" w:lineRule="auto"/>
        <w:jc w:val="both"/>
        <w:rPr>
          <w:rFonts w:ascii="Arial" w:hAnsi="Arial" w:cs="Arial"/>
          <w:b/>
          <w:bCs/>
          <w:sz w:val="24"/>
          <w:szCs w:val="24"/>
        </w:rPr>
      </w:pPr>
    </w:p>
    <w:p w:rsidR="00730FFE" w:rsidRPr="003F451C" w:rsidRDefault="00730FFE" w:rsidP="00A02A40">
      <w:pPr>
        <w:spacing w:line="276" w:lineRule="auto"/>
        <w:jc w:val="both"/>
        <w:rPr>
          <w:rFonts w:ascii="Arial" w:hAnsi="Arial" w:cs="Arial"/>
          <w:b/>
          <w:sz w:val="24"/>
          <w:szCs w:val="24"/>
        </w:rPr>
      </w:pPr>
      <w:r w:rsidRPr="003F451C">
        <w:rPr>
          <w:rFonts w:ascii="Arial" w:hAnsi="Arial" w:cs="Arial"/>
          <w:b/>
          <w:sz w:val="24"/>
          <w:szCs w:val="24"/>
        </w:rPr>
        <w:t>Tavsiyelerimiz</w:t>
      </w:r>
    </w:p>
    <w:p w:rsidR="00DB7BD5" w:rsidRPr="003F451C" w:rsidRDefault="00730FFE" w:rsidP="00A02A40">
      <w:pPr>
        <w:pStyle w:val="ListeParagraf"/>
        <w:numPr>
          <w:ilvl w:val="0"/>
          <w:numId w:val="10"/>
        </w:numPr>
        <w:spacing w:line="276" w:lineRule="auto"/>
        <w:jc w:val="both"/>
        <w:rPr>
          <w:rFonts w:ascii="Arial" w:hAnsi="Arial" w:cs="Arial"/>
          <w:sz w:val="24"/>
          <w:szCs w:val="24"/>
        </w:rPr>
      </w:pPr>
      <w:r w:rsidRPr="003F451C">
        <w:rPr>
          <w:rFonts w:ascii="Arial" w:hAnsi="Arial" w:cs="Arial"/>
          <w:sz w:val="24"/>
          <w:szCs w:val="24"/>
        </w:rPr>
        <w:t>BM Her Türlü Irk Ayrımcılığının Ortadan Kaldırılmasına İlişkin Uluslararası Sözleşme’nin 22. Md. 22, BM Uluslararası Medeni ve Siyasal Haklar Sözleşmesi Md. 27, BM Uluslararası Ekonomik, Sosyal ve Kültürel Haklar Sözleşmesi Md. 13(3)-4(4) ve BM Çocuk Hakları Sözleşmesi’nin 17, 29 ve 30 maddelerine konulan çekincelerin kaldırılması,</w:t>
      </w:r>
    </w:p>
    <w:p w:rsidR="00DB7BD5" w:rsidRPr="003F451C" w:rsidRDefault="00DB7BD5" w:rsidP="00A02A40">
      <w:pPr>
        <w:pStyle w:val="ListeParagraf"/>
        <w:spacing w:line="276" w:lineRule="auto"/>
        <w:jc w:val="both"/>
        <w:rPr>
          <w:rFonts w:ascii="Arial" w:hAnsi="Arial" w:cs="Arial"/>
          <w:sz w:val="24"/>
          <w:szCs w:val="24"/>
        </w:rPr>
      </w:pPr>
    </w:p>
    <w:p w:rsidR="00DB7BD5" w:rsidRPr="003F451C" w:rsidRDefault="00730FFE" w:rsidP="00A02A40">
      <w:pPr>
        <w:pStyle w:val="ListeParagraf"/>
        <w:numPr>
          <w:ilvl w:val="0"/>
          <w:numId w:val="10"/>
        </w:numPr>
        <w:spacing w:line="276" w:lineRule="auto"/>
        <w:jc w:val="both"/>
        <w:rPr>
          <w:rFonts w:ascii="Arial" w:hAnsi="Arial" w:cs="Arial"/>
          <w:sz w:val="24"/>
          <w:szCs w:val="24"/>
        </w:rPr>
      </w:pPr>
      <w:r w:rsidRPr="003F451C">
        <w:rPr>
          <w:rFonts w:ascii="Arial" w:hAnsi="Arial" w:cs="Arial"/>
          <w:sz w:val="24"/>
          <w:szCs w:val="24"/>
        </w:rPr>
        <w:t>Avrupa İnsan Hakları Sözleşmesi’ne Ek 12 No’lu Protokol’ün onaylanması,</w:t>
      </w:r>
    </w:p>
    <w:p w:rsidR="00DB7BD5" w:rsidRPr="003F451C" w:rsidRDefault="00DB7BD5" w:rsidP="00A02A40">
      <w:pPr>
        <w:pStyle w:val="ListeParagraf"/>
        <w:spacing w:line="276" w:lineRule="auto"/>
        <w:jc w:val="both"/>
        <w:rPr>
          <w:rFonts w:ascii="Arial" w:hAnsi="Arial" w:cs="Arial"/>
          <w:sz w:val="24"/>
          <w:szCs w:val="24"/>
        </w:rPr>
      </w:pPr>
    </w:p>
    <w:p w:rsidR="00DB7BD5" w:rsidRPr="003F451C" w:rsidRDefault="00730FFE" w:rsidP="00A02A40">
      <w:pPr>
        <w:pStyle w:val="ListeParagraf"/>
        <w:numPr>
          <w:ilvl w:val="0"/>
          <w:numId w:val="10"/>
        </w:numPr>
        <w:spacing w:line="276" w:lineRule="auto"/>
        <w:jc w:val="both"/>
        <w:rPr>
          <w:rFonts w:ascii="Arial" w:hAnsi="Arial" w:cs="Arial"/>
          <w:sz w:val="24"/>
          <w:szCs w:val="24"/>
        </w:rPr>
      </w:pPr>
      <w:r w:rsidRPr="003F451C">
        <w:rPr>
          <w:rFonts w:ascii="Arial" w:hAnsi="Arial" w:cs="Arial"/>
          <w:sz w:val="24"/>
          <w:szCs w:val="24"/>
        </w:rPr>
        <w:lastRenderedPageBreak/>
        <w:t>Ayrımcılığın</w:t>
      </w:r>
      <w:r w:rsidR="00E91826" w:rsidRPr="003F451C">
        <w:rPr>
          <w:rFonts w:ascii="Arial" w:hAnsi="Arial" w:cs="Arial"/>
          <w:sz w:val="24"/>
          <w:szCs w:val="24"/>
        </w:rPr>
        <w:t xml:space="preserve"> etkili bir şekilde</w:t>
      </w:r>
      <w:r w:rsidRPr="003F451C">
        <w:rPr>
          <w:rFonts w:ascii="Arial" w:hAnsi="Arial" w:cs="Arial"/>
          <w:sz w:val="24"/>
          <w:szCs w:val="24"/>
        </w:rPr>
        <w:t xml:space="preserve"> yasaklanması için ayrımcılık tanımlarının, biçimlerinin ve temellerinin yer aldığı kapsamlı ve cezai müeyyideler de öngören bir ayrımcılıkla mücadele yasası çıkarılması,</w:t>
      </w:r>
    </w:p>
    <w:p w:rsidR="00DB7BD5" w:rsidRPr="003F451C" w:rsidRDefault="00DB7BD5" w:rsidP="00A02A40">
      <w:pPr>
        <w:pStyle w:val="ListeParagraf"/>
        <w:spacing w:line="276" w:lineRule="auto"/>
        <w:jc w:val="both"/>
        <w:rPr>
          <w:rFonts w:ascii="Arial" w:hAnsi="Arial" w:cs="Arial"/>
          <w:sz w:val="24"/>
          <w:szCs w:val="24"/>
        </w:rPr>
      </w:pPr>
    </w:p>
    <w:p w:rsidR="00DB7BD5" w:rsidRPr="003F451C" w:rsidRDefault="00730FFE" w:rsidP="00A02A40">
      <w:pPr>
        <w:pStyle w:val="ListeParagraf"/>
        <w:numPr>
          <w:ilvl w:val="0"/>
          <w:numId w:val="10"/>
        </w:numPr>
        <w:spacing w:line="276" w:lineRule="auto"/>
        <w:jc w:val="both"/>
        <w:rPr>
          <w:rFonts w:ascii="Arial" w:hAnsi="Arial" w:cs="Arial"/>
          <w:sz w:val="24"/>
          <w:szCs w:val="24"/>
        </w:rPr>
      </w:pPr>
      <w:r w:rsidRPr="003F451C">
        <w:rPr>
          <w:rFonts w:ascii="Arial" w:hAnsi="Arial" w:cs="Arial"/>
          <w:sz w:val="24"/>
          <w:szCs w:val="24"/>
        </w:rPr>
        <w:t>Adli, soruşturma ve ulusal önleme mekanizmaları tarafından ayrımcılık ve nefret suçu iddialarının etkin şekilde soruşturulması,</w:t>
      </w:r>
    </w:p>
    <w:p w:rsidR="00DB7BD5" w:rsidRPr="003F451C" w:rsidRDefault="00DB7BD5" w:rsidP="00A02A40">
      <w:pPr>
        <w:pStyle w:val="ListeParagraf"/>
        <w:spacing w:line="276" w:lineRule="auto"/>
        <w:jc w:val="both"/>
        <w:rPr>
          <w:rFonts w:ascii="Arial" w:hAnsi="Arial" w:cs="Arial"/>
          <w:sz w:val="24"/>
          <w:szCs w:val="24"/>
        </w:rPr>
      </w:pPr>
    </w:p>
    <w:p w:rsidR="00DB7BD5" w:rsidRPr="003F451C" w:rsidRDefault="00730FFE" w:rsidP="00A02A40">
      <w:pPr>
        <w:pStyle w:val="ListeParagraf"/>
        <w:numPr>
          <w:ilvl w:val="0"/>
          <w:numId w:val="10"/>
        </w:numPr>
        <w:spacing w:line="276" w:lineRule="auto"/>
        <w:jc w:val="both"/>
        <w:rPr>
          <w:rFonts w:ascii="Arial" w:hAnsi="Arial" w:cs="Arial"/>
          <w:sz w:val="24"/>
          <w:szCs w:val="24"/>
        </w:rPr>
      </w:pPr>
      <w:r w:rsidRPr="003F451C">
        <w:rPr>
          <w:rFonts w:ascii="Arial" w:hAnsi="Arial" w:cs="Arial"/>
          <w:sz w:val="24"/>
          <w:szCs w:val="24"/>
        </w:rPr>
        <w:t>Irk, etnik, din ve inanç temelinde ayrıştırılmış veri toplanması ve bu verilerin kamuya açık olarak paylaşılması,</w:t>
      </w:r>
    </w:p>
    <w:p w:rsidR="00DB7BD5" w:rsidRPr="003F451C" w:rsidRDefault="00DB7BD5" w:rsidP="00A02A40">
      <w:pPr>
        <w:pStyle w:val="ListeParagraf"/>
        <w:spacing w:line="276" w:lineRule="auto"/>
        <w:jc w:val="both"/>
        <w:rPr>
          <w:rFonts w:ascii="Arial" w:hAnsi="Arial" w:cs="Arial"/>
          <w:sz w:val="24"/>
          <w:szCs w:val="24"/>
        </w:rPr>
      </w:pPr>
    </w:p>
    <w:p w:rsidR="00DB7BD5" w:rsidRPr="003F451C" w:rsidRDefault="00730FFE" w:rsidP="00A02A40">
      <w:pPr>
        <w:pStyle w:val="ListeParagraf"/>
        <w:numPr>
          <w:ilvl w:val="0"/>
          <w:numId w:val="10"/>
        </w:numPr>
        <w:spacing w:line="276" w:lineRule="auto"/>
        <w:jc w:val="both"/>
        <w:rPr>
          <w:rFonts w:ascii="Arial" w:hAnsi="Arial" w:cs="Arial"/>
          <w:sz w:val="24"/>
          <w:szCs w:val="24"/>
        </w:rPr>
      </w:pPr>
      <w:r w:rsidRPr="003F451C">
        <w:rPr>
          <w:rFonts w:ascii="Arial" w:hAnsi="Arial" w:cs="Arial"/>
          <w:sz w:val="24"/>
          <w:szCs w:val="24"/>
        </w:rPr>
        <w:t>Türkiye’deki bütün etnik ve dini grupların azınlıklar ile ilgili uluslararası sözleşmelerin kapsadığı haklardan ve korumalardan faydalanması için yasal düzenleme yapılması,</w:t>
      </w:r>
    </w:p>
    <w:p w:rsidR="00DB7BD5" w:rsidRPr="003F451C" w:rsidRDefault="00DB7BD5" w:rsidP="00A02A40">
      <w:pPr>
        <w:pStyle w:val="ListeParagraf"/>
        <w:spacing w:line="276" w:lineRule="auto"/>
        <w:jc w:val="both"/>
        <w:rPr>
          <w:rFonts w:ascii="Arial" w:hAnsi="Arial" w:cs="Arial"/>
          <w:sz w:val="24"/>
          <w:szCs w:val="24"/>
        </w:rPr>
      </w:pPr>
    </w:p>
    <w:p w:rsidR="00DB7BD5" w:rsidRPr="003F451C" w:rsidRDefault="00730FFE" w:rsidP="00A02A40">
      <w:pPr>
        <w:pStyle w:val="ListeParagraf"/>
        <w:numPr>
          <w:ilvl w:val="0"/>
          <w:numId w:val="10"/>
        </w:numPr>
        <w:spacing w:line="276" w:lineRule="auto"/>
        <w:jc w:val="both"/>
        <w:rPr>
          <w:rFonts w:ascii="Arial" w:hAnsi="Arial" w:cs="Arial"/>
          <w:sz w:val="24"/>
          <w:szCs w:val="24"/>
        </w:rPr>
      </w:pPr>
      <w:r w:rsidRPr="003F451C">
        <w:rPr>
          <w:rFonts w:ascii="Arial" w:hAnsi="Arial" w:cs="Arial"/>
          <w:sz w:val="24"/>
          <w:szCs w:val="24"/>
        </w:rPr>
        <w:t>Tüm dini azınlık grupları için ibadet yerlerine resmi statü tanınması ve genel bütçeden</w:t>
      </w:r>
      <w:r w:rsidR="00B2170E" w:rsidRPr="003F451C">
        <w:rPr>
          <w:rFonts w:ascii="Arial" w:hAnsi="Arial" w:cs="Arial"/>
          <w:sz w:val="24"/>
          <w:szCs w:val="24"/>
        </w:rPr>
        <w:t xml:space="preserve"> tüm gruplar ile eşit olarak yararlanmaları sağlanmalıdır</w:t>
      </w:r>
      <w:r w:rsidR="00655857" w:rsidRPr="003F451C">
        <w:rPr>
          <w:rFonts w:ascii="Arial" w:hAnsi="Arial" w:cs="Arial"/>
          <w:sz w:val="24"/>
          <w:szCs w:val="24"/>
        </w:rPr>
        <w:t>,</w:t>
      </w:r>
    </w:p>
    <w:p w:rsidR="00DB7BD5" w:rsidRPr="003F451C" w:rsidRDefault="00DB7BD5" w:rsidP="00A02A40">
      <w:pPr>
        <w:pStyle w:val="ListeParagraf"/>
        <w:spacing w:line="276" w:lineRule="auto"/>
        <w:jc w:val="both"/>
        <w:rPr>
          <w:rFonts w:ascii="Arial" w:hAnsi="Arial" w:cs="Arial"/>
          <w:sz w:val="24"/>
          <w:szCs w:val="24"/>
        </w:rPr>
      </w:pPr>
    </w:p>
    <w:p w:rsidR="00730FFE" w:rsidRPr="003F451C" w:rsidRDefault="00730FFE" w:rsidP="00A02A40">
      <w:pPr>
        <w:pStyle w:val="ListeParagraf"/>
        <w:numPr>
          <w:ilvl w:val="0"/>
          <w:numId w:val="10"/>
        </w:numPr>
        <w:spacing w:line="276" w:lineRule="auto"/>
        <w:jc w:val="both"/>
        <w:rPr>
          <w:rFonts w:ascii="Arial" w:hAnsi="Arial" w:cs="Arial"/>
          <w:sz w:val="24"/>
          <w:szCs w:val="24"/>
        </w:rPr>
      </w:pPr>
      <w:r w:rsidRPr="003F451C">
        <w:rPr>
          <w:rFonts w:ascii="Arial" w:hAnsi="Arial" w:cs="Arial"/>
          <w:sz w:val="24"/>
          <w:szCs w:val="24"/>
        </w:rPr>
        <w:t>TİHEK ve Kamu Denetçiliği Kurumu’nun Paris ilkeleri ile uyumlu bir yapıya kavuşturu</w:t>
      </w:r>
      <w:r w:rsidR="008142B6" w:rsidRPr="003F451C">
        <w:rPr>
          <w:rFonts w:ascii="Arial" w:hAnsi="Arial" w:cs="Arial"/>
          <w:sz w:val="24"/>
          <w:szCs w:val="24"/>
        </w:rPr>
        <w:t>lması ve yetkilerle donatılmasıdır</w:t>
      </w:r>
      <w:r w:rsidR="001A51D5" w:rsidRPr="003F451C">
        <w:rPr>
          <w:rFonts w:ascii="Arial" w:hAnsi="Arial" w:cs="Arial"/>
          <w:sz w:val="24"/>
          <w:szCs w:val="24"/>
        </w:rPr>
        <w:t>.</w:t>
      </w:r>
    </w:p>
    <w:p w:rsidR="00D077DA" w:rsidRPr="003F451C" w:rsidRDefault="00D077DA" w:rsidP="00A02A40">
      <w:pPr>
        <w:spacing w:line="276" w:lineRule="auto"/>
        <w:jc w:val="both"/>
        <w:rPr>
          <w:rFonts w:ascii="Arial" w:hAnsi="Arial" w:cs="Arial"/>
          <w:sz w:val="24"/>
          <w:szCs w:val="24"/>
        </w:rPr>
      </w:pPr>
      <w:r w:rsidRPr="003F451C">
        <w:rPr>
          <w:rFonts w:ascii="Arial" w:hAnsi="Arial" w:cs="Arial"/>
          <w:sz w:val="24"/>
          <w:szCs w:val="24"/>
        </w:rPr>
        <w:br w:type="page"/>
      </w:r>
    </w:p>
    <w:p w:rsidR="008755DA" w:rsidRPr="003F451C" w:rsidRDefault="008755DA" w:rsidP="00A02A40">
      <w:pPr>
        <w:pStyle w:val="Balk1"/>
        <w:spacing w:line="276" w:lineRule="auto"/>
        <w:jc w:val="both"/>
        <w:rPr>
          <w:b/>
          <w:sz w:val="28"/>
        </w:rPr>
      </w:pPr>
      <w:r w:rsidRPr="003F451C">
        <w:rPr>
          <w:b/>
          <w:sz w:val="28"/>
        </w:rPr>
        <w:lastRenderedPageBreak/>
        <w:t>Engelli Hakları</w:t>
      </w:r>
    </w:p>
    <w:p w:rsidR="00DB7BD5" w:rsidRPr="003F451C" w:rsidRDefault="00DB7BD5" w:rsidP="00A02A40">
      <w:pPr>
        <w:spacing w:line="276" w:lineRule="auto"/>
        <w:jc w:val="both"/>
        <w:rPr>
          <w:rFonts w:ascii="Arial" w:hAnsi="Arial" w:cs="Arial"/>
          <w:sz w:val="24"/>
          <w:szCs w:val="24"/>
        </w:rPr>
      </w:pPr>
    </w:p>
    <w:p w:rsidR="00DB7BD5" w:rsidRPr="003F451C" w:rsidRDefault="008755DA" w:rsidP="00A02A40">
      <w:pPr>
        <w:pStyle w:val="NormalWeb"/>
        <w:numPr>
          <w:ilvl w:val="0"/>
          <w:numId w:val="10"/>
        </w:numPr>
        <w:spacing w:before="0" w:beforeAutospacing="0" w:after="160" w:afterAutospacing="0" w:line="276" w:lineRule="auto"/>
        <w:jc w:val="both"/>
        <w:rPr>
          <w:rFonts w:ascii="Arial" w:eastAsiaTheme="minorHAnsi" w:hAnsi="Arial" w:cs="Arial"/>
          <w:lang w:eastAsia="en-US"/>
        </w:rPr>
      </w:pPr>
      <w:r w:rsidRPr="003F451C">
        <w:rPr>
          <w:rFonts w:ascii="Arial" w:eastAsiaTheme="minorHAnsi" w:hAnsi="Arial" w:cs="Arial"/>
          <w:lang w:eastAsia="en-US"/>
        </w:rPr>
        <w:t>Türkiye BM Engelli Hakları</w:t>
      </w:r>
      <w:r w:rsidR="00BD706E">
        <w:rPr>
          <w:rFonts w:ascii="Arial" w:eastAsiaTheme="minorHAnsi" w:hAnsi="Arial" w:cs="Arial"/>
          <w:lang w:eastAsia="en-US"/>
        </w:rPr>
        <w:t>na İlişkin</w:t>
      </w:r>
      <w:r w:rsidRPr="003F451C">
        <w:rPr>
          <w:rFonts w:ascii="Arial" w:eastAsiaTheme="minorHAnsi" w:hAnsi="Arial" w:cs="Arial"/>
          <w:lang w:eastAsia="en-US"/>
        </w:rPr>
        <w:t xml:space="preserve"> </w:t>
      </w:r>
      <w:r w:rsidR="00CD48BA" w:rsidRPr="003F451C">
        <w:rPr>
          <w:rFonts w:ascii="Arial" w:eastAsiaTheme="minorHAnsi" w:hAnsi="Arial" w:cs="Arial"/>
          <w:lang w:eastAsia="en-US"/>
        </w:rPr>
        <w:t>Sözleşmey</w:t>
      </w:r>
      <w:r w:rsidR="00CD48BA">
        <w:rPr>
          <w:rFonts w:ascii="Arial" w:eastAsiaTheme="minorHAnsi" w:hAnsi="Arial" w:cs="Arial"/>
          <w:lang w:eastAsia="en-US"/>
        </w:rPr>
        <w:t>i</w:t>
      </w:r>
      <w:r w:rsidRPr="003F451C">
        <w:rPr>
          <w:rFonts w:ascii="Arial" w:eastAsiaTheme="minorHAnsi" w:hAnsi="Arial" w:cs="Arial"/>
          <w:lang w:eastAsia="en-US"/>
        </w:rPr>
        <w:t xml:space="preserve"> (EHİS) 2007</w:t>
      </w:r>
      <w:r w:rsidR="00BE7DA9" w:rsidRPr="003F451C">
        <w:rPr>
          <w:rFonts w:ascii="Arial" w:eastAsiaTheme="minorHAnsi" w:hAnsi="Arial" w:cs="Arial"/>
          <w:lang w:eastAsia="en-US"/>
        </w:rPr>
        <w:t>’de</w:t>
      </w:r>
      <w:r w:rsidRPr="003F451C">
        <w:rPr>
          <w:rFonts w:ascii="Arial" w:eastAsiaTheme="minorHAnsi" w:hAnsi="Arial" w:cs="Arial"/>
          <w:lang w:eastAsia="en-US"/>
        </w:rPr>
        <w:t xml:space="preserve"> imzalamış, 2008</w:t>
      </w:r>
      <w:r w:rsidR="00BE7DA9" w:rsidRPr="003F451C">
        <w:rPr>
          <w:rFonts w:ascii="Arial" w:eastAsiaTheme="minorHAnsi" w:hAnsi="Arial" w:cs="Arial"/>
          <w:lang w:eastAsia="en-US"/>
        </w:rPr>
        <w:t xml:space="preserve">’de ise </w:t>
      </w:r>
      <w:r w:rsidRPr="003F451C">
        <w:rPr>
          <w:rFonts w:ascii="Arial" w:eastAsiaTheme="minorHAnsi" w:hAnsi="Arial" w:cs="Arial"/>
          <w:lang w:eastAsia="en-US"/>
        </w:rPr>
        <w:t>onaylamıştır. Sözleşme'ye ilişkin bir çekince veya beyanı yoktur. Sö</w:t>
      </w:r>
      <w:r w:rsidR="001A51D5" w:rsidRPr="003F451C">
        <w:rPr>
          <w:rFonts w:ascii="Arial" w:eastAsiaTheme="minorHAnsi" w:hAnsi="Arial" w:cs="Arial"/>
          <w:lang w:eastAsia="en-US"/>
        </w:rPr>
        <w:t>zleşme’ye Ek İhtiyari Protokol</w:t>
      </w:r>
      <w:r w:rsidRPr="003F451C">
        <w:rPr>
          <w:rFonts w:ascii="Arial" w:eastAsiaTheme="minorHAnsi" w:hAnsi="Arial" w:cs="Arial"/>
          <w:lang w:eastAsia="en-US"/>
        </w:rPr>
        <w:t xml:space="preserve"> ise </w:t>
      </w:r>
      <w:r w:rsidR="001A51D5" w:rsidRPr="003F451C">
        <w:rPr>
          <w:rFonts w:ascii="Arial" w:eastAsiaTheme="minorHAnsi" w:hAnsi="Arial" w:cs="Arial"/>
          <w:lang w:eastAsia="en-US"/>
        </w:rPr>
        <w:t xml:space="preserve">Türkiye tarafından </w:t>
      </w:r>
      <w:r w:rsidRPr="003F451C">
        <w:rPr>
          <w:rFonts w:ascii="Arial" w:eastAsiaTheme="minorHAnsi" w:hAnsi="Arial" w:cs="Arial"/>
          <w:lang w:eastAsia="en-US"/>
        </w:rPr>
        <w:t>2009</w:t>
      </w:r>
      <w:r w:rsidR="00F24FC0" w:rsidRPr="003F451C">
        <w:rPr>
          <w:rFonts w:ascii="Arial" w:eastAsiaTheme="minorHAnsi" w:hAnsi="Arial" w:cs="Arial"/>
          <w:lang w:eastAsia="en-US"/>
        </w:rPr>
        <w:t xml:space="preserve">’da </w:t>
      </w:r>
      <w:r w:rsidRPr="003F451C">
        <w:rPr>
          <w:rFonts w:ascii="Arial" w:eastAsiaTheme="minorHAnsi" w:hAnsi="Arial" w:cs="Arial"/>
          <w:lang w:eastAsia="en-US"/>
        </w:rPr>
        <w:t>imzala</w:t>
      </w:r>
      <w:r w:rsidR="001A51D5" w:rsidRPr="003F451C">
        <w:rPr>
          <w:rFonts w:ascii="Arial" w:eastAsiaTheme="minorHAnsi" w:hAnsi="Arial" w:cs="Arial"/>
          <w:lang w:eastAsia="en-US"/>
        </w:rPr>
        <w:t xml:space="preserve">nmış </w:t>
      </w:r>
      <w:r w:rsidR="00F24FC0" w:rsidRPr="003F451C">
        <w:rPr>
          <w:rFonts w:ascii="Arial" w:eastAsiaTheme="minorHAnsi" w:hAnsi="Arial" w:cs="Arial"/>
          <w:lang w:eastAsia="en-US"/>
        </w:rPr>
        <w:t xml:space="preserve">ve </w:t>
      </w:r>
      <w:r w:rsidRPr="003F451C">
        <w:rPr>
          <w:rFonts w:ascii="Arial" w:eastAsiaTheme="minorHAnsi" w:hAnsi="Arial" w:cs="Arial"/>
          <w:lang w:eastAsia="en-US"/>
        </w:rPr>
        <w:t>2015</w:t>
      </w:r>
      <w:r w:rsidR="00F86E67" w:rsidRPr="003F451C">
        <w:rPr>
          <w:rFonts w:ascii="Arial" w:eastAsiaTheme="minorHAnsi" w:hAnsi="Arial" w:cs="Arial"/>
          <w:lang w:eastAsia="en-US"/>
        </w:rPr>
        <w:t>’te</w:t>
      </w:r>
      <w:r w:rsidRPr="003F451C">
        <w:rPr>
          <w:rFonts w:ascii="Arial" w:eastAsiaTheme="minorHAnsi" w:hAnsi="Arial" w:cs="Arial"/>
          <w:lang w:eastAsia="en-US"/>
        </w:rPr>
        <w:t xml:space="preserve"> onaylanarak yürürlüğe girmiştir. </w:t>
      </w:r>
    </w:p>
    <w:p w:rsidR="00DB7BD5" w:rsidRPr="003F451C" w:rsidRDefault="008755DA" w:rsidP="00A02A40">
      <w:pPr>
        <w:pStyle w:val="NormalWeb"/>
        <w:numPr>
          <w:ilvl w:val="0"/>
          <w:numId w:val="10"/>
        </w:numPr>
        <w:spacing w:before="0" w:beforeAutospacing="0" w:after="160" w:afterAutospacing="0" w:line="276" w:lineRule="auto"/>
        <w:jc w:val="both"/>
        <w:rPr>
          <w:rFonts w:ascii="Arial" w:eastAsiaTheme="minorHAnsi" w:hAnsi="Arial" w:cs="Arial"/>
          <w:lang w:eastAsia="en-US"/>
        </w:rPr>
      </w:pPr>
      <w:r w:rsidRPr="003F451C">
        <w:rPr>
          <w:rFonts w:ascii="Arial" w:eastAsiaTheme="minorHAnsi" w:hAnsi="Arial" w:cs="Arial"/>
          <w:lang w:eastAsia="en-US"/>
        </w:rPr>
        <w:t>Türkiye</w:t>
      </w:r>
      <w:r w:rsidR="00F74467" w:rsidRPr="003F451C">
        <w:rPr>
          <w:rFonts w:ascii="Arial" w:eastAsiaTheme="minorHAnsi" w:hAnsi="Arial" w:cs="Arial"/>
          <w:lang w:eastAsia="en-US"/>
        </w:rPr>
        <w:t>,</w:t>
      </w:r>
      <w:r w:rsidRPr="003F451C">
        <w:rPr>
          <w:rFonts w:ascii="Arial" w:eastAsiaTheme="minorHAnsi" w:hAnsi="Arial" w:cs="Arial"/>
          <w:lang w:eastAsia="en-US"/>
        </w:rPr>
        <w:t xml:space="preserve"> Sözleşme kapsamındaki birçok yükümlüğünü yerine getirmemektedir. Devletin engelliler hakkındaki politikaları</w:t>
      </w:r>
      <w:r w:rsidR="00BD706E">
        <w:rPr>
          <w:rFonts w:ascii="Arial" w:eastAsiaTheme="minorHAnsi" w:hAnsi="Arial" w:cs="Arial"/>
          <w:lang w:eastAsia="en-US"/>
        </w:rPr>
        <w:t>,</w:t>
      </w:r>
      <w:r w:rsidRPr="003F451C">
        <w:rPr>
          <w:rFonts w:ascii="Arial" w:eastAsiaTheme="minorHAnsi" w:hAnsi="Arial" w:cs="Arial"/>
          <w:lang w:eastAsia="en-US"/>
        </w:rPr>
        <w:t xml:space="preserve"> tıbbi bakış açısıyla ve yardım ekseninde oluşturulmaktadır. İç hukuk</w:t>
      </w:r>
      <w:r w:rsidR="00950E25" w:rsidRPr="003F451C">
        <w:rPr>
          <w:rFonts w:ascii="Arial" w:eastAsiaTheme="minorHAnsi" w:hAnsi="Arial" w:cs="Arial"/>
          <w:lang w:eastAsia="en-US"/>
        </w:rPr>
        <w:t>,</w:t>
      </w:r>
      <w:r w:rsidRPr="003F451C">
        <w:rPr>
          <w:rFonts w:ascii="Arial" w:eastAsiaTheme="minorHAnsi" w:hAnsi="Arial" w:cs="Arial"/>
          <w:lang w:eastAsia="en-US"/>
        </w:rPr>
        <w:t xml:space="preserve"> bütünüyle Sözleşme ile uyumlu hale getirilmemiştir</w:t>
      </w:r>
      <w:r w:rsidR="00950E25" w:rsidRPr="003F451C">
        <w:rPr>
          <w:rFonts w:ascii="Arial" w:eastAsiaTheme="minorHAnsi" w:hAnsi="Arial" w:cs="Arial"/>
          <w:lang w:eastAsia="en-US"/>
        </w:rPr>
        <w:t xml:space="preserve">, </w:t>
      </w:r>
      <w:r w:rsidRPr="003F451C">
        <w:rPr>
          <w:rFonts w:ascii="Arial" w:eastAsiaTheme="minorHAnsi" w:hAnsi="Arial" w:cs="Arial"/>
          <w:lang w:eastAsia="en-US"/>
        </w:rPr>
        <w:t>bazı kanunlarda ve daha alt düzey mevzuatta engelliler bakımından ayrımcı hükümler bulunmaktadır. Engelliliğe dayalı ayrımcılık</w:t>
      </w:r>
      <w:r w:rsidR="002821AD" w:rsidRPr="003F451C">
        <w:rPr>
          <w:rFonts w:ascii="Arial" w:eastAsiaTheme="minorHAnsi" w:hAnsi="Arial" w:cs="Arial"/>
          <w:lang w:eastAsia="en-US"/>
        </w:rPr>
        <w:t>,</w:t>
      </w:r>
      <w:r w:rsidRPr="003F451C">
        <w:rPr>
          <w:rFonts w:ascii="Arial" w:eastAsiaTheme="minorHAnsi" w:hAnsi="Arial" w:cs="Arial"/>
          <w:lang w:eastAsia="en-US"/>
        </w:rPr>
        <w:t xml:space="preserve"> Engelliler Hakkında Kanun’da yasaklanmış olmasına rağmen kanun</w:t>
      </w:r>
      <w:r w:rsidR="00742BC3" w:rsidRPr="003F451C">
        <w:rPr>
          <w:rFonts w:ascii="Arial" w:eastAsiaTheme="minorHAnsi" w:hAnsi="Arial" w:cs="Arial"/>
          <w:lang w:eastAsia="en-US"/>
        </w:rPr>
        <w:t>,</w:t>
      </w:r>
      <w:r w:rsidRPr="003F451C">
        <w:rPr>
          <w:rFonts w:ascii="Arial" w:eastAsiaTheme="minorHAnsi" w:hAnsi="Arial" w:cs="Arial"/>
          <w:lang w:eastAsia="en-US"/>
        </w:rPr>
        <w:t xml:space="preserve"> ayrımcılığın failleri hakkında herhangi bir cezai müeyyide öngörmemektedir. TCK’nın ilgili 122. maddesinde yer alan cezai düzenleme ise sadece nefret saikiyle yapılan ayrımcılığı kapsamaktadır.</w:t>
      </w:r>
    </w:p>
    <w:p w:rsidR="00DB7BD5" w:rsidRPr="003F451C" w:rsidRDefault="008755DA" w:rsidP="00A02A40">
      <w:pPr>
        <w:pStyle w:val="NormalWeb"/>
        <w:numPr>
          <w:ilvl w:val="0"/>
          <w:numId w:val="10"/>
        </w:numPr>
        <w:spacing w:before="0" w:beforeAutospacing="0" w:after="160" w:afterAutospacing="0" w:line="276" w:lineRule="auto"/>
        <w:jc w:val="both"/>
        <w:rPr>
          <w:rFonts w:ascii="Arial" w:eastAsiaTheme="minorHAnsi" w:hAnsi="Arial" w:cs="Arial"/>
          <w:lang w:eastAsia="en-US"/>
        </w:rPr>
      </w:pPr>
      <w:r w:rsidRPr="003F451C">
        <w:rPr>
          <w:rFonts w:ascii="Arial" w:eastAsiaTheme="minorHAnsi" w:hAnsi="Arial" w:cs="Arial"/>
          <w:lang w:eastAsia="en-US"/>
        </w:rPr>
        <w:t xml:space="preserve">Türkiye’de engelli kişiler eğitim, istihdam vb. en temel insan haklarına erişimde eşit fırsatlara sahip değildir ve ayrımcılığa uğramaktadır. Engelli kadın ve kız çocukları ile engelli </w:t>
      </w:r>
      <w:bookmarkStart w:id="1" w:name="_Hlk25661337"/>
      <w:r w:rsidRPr="003F451C">
        <w:rPr>
          <w:rFonts w:ascii="Arial" w:eastAsiaTheme="minorHAnsi" w:hAnsi="Arial" w:cs="Arial"/>
          <w:lang w:eastAsia="en-US"/>
        </w:rPr>
        <w:t>LGBTİ+</w:t>
      </w:r>
      <w:bookmarkEnd w:id="1"/>
      <w:r w:rsidRPr="003F451C">
        <w:rPr>
          <w:rFonts w:ascii="Arial" w:eastAsiaTheme="minorHAnsi" w:hAnsi="Arial" w:cs="Arial"/>
          <w:lang w:eastAsia="en-US"/>
        </w:rPr>
        <w:t xml:space="preserve"> kişiler insan haklarına erişimde çoklu ayrımcılığa uğramaktadır. Benzer bir biçimde etnik, dini gruplara mensup engelliler de çoklu ayrımcılığa maruz kalmaktadır.</w:t>
      </w:r>
      <w:bookmarkStart w:id="2" w:name="_Hlk14106843"/>
    </w:p>
    <w:p w:rsidR="00DB7BD5" w:rsidRPr="003F451C" w:rsidRDefault="008755DA" w:rsidP="00A02A40">
      <w:pPr>
        <w:pStyle w:val="NormalWeb"/>
        <w:numPr>
          <w:ilvl w:val="0"/>
          <w:numId w:val="10"/>
        </w:numPr>
        <w:spacing w:before="0" w:beforeAutospacing="0" w:after="160" w:afterAutospacing="0" w:line="276" w:lineRule="auto"/>
        <w:jc w:val="both"/>
        <w:rPr>
          <w:rFonts w:ascii="Arial" w:eastAsiaTheme="minorHAnsi" w:hAnsi="Arial" w:cs="Arial"/>
          <w:lang w:eastAsia="en-US"/>
        </w:rPr>
      </w:pPr>
      <w:r w:rsidRPr="003F451C">
        <w:rPr>
          <w:rFonts w:ascii="Arial" w:eastAsiaTheme="minorHAnsi" w:hAnsi="Arial" w:cs="Arial"/>
          <w:lang w:eastAsia="en-US"/>
        </w:rPr>
        <w:t>Resmi istatistiklere göre Türkiye’de nüfusun %6,6’sını oluşturan 4.882.841 kişi engellidir. Engelli nüfusun cinsiyet dağılımı %57,2’si kadın %42,8 erkektir. Engelli erkekler içinde okuma yazma bilmeyenlerin oranı %10,9 iken</w:t>
      </w:r>
      <w:r w:rsidR="005E65C9" w:rsidRPr="003F451C">
        <w:rPr>
          <w:rFonts w:ascii="Arial" w:eastAsiaTheme="minorHAnsi" w:hAnsi="Arial" w:cs="Arial"/>
          <w:lang w:eastAsia="en-US"/>
        </w:rPr>
        <w:t>,</w:t>
      </w:r>
      <w:r w:rsidRPr="003F451C">
        <w:rPr>
          <w:rFonts w:ascii="Arial" w:eastAsiaTheme="minorHAnsi" w:hAnsi="Arial" w:cs="Arial"/>
          <w:lang w:eastAsia="en-US"/>
        </w:rPr>
        <w:t xml:space="preserve"> engelli kadınların %32,4’ü okuma yazma bilmemektedir. Engelli erkekler içinde okuma yazma bilmeyenlerin oranı %10,9 iken engelli kadınların %32,4’ü okuma yazma bilmemektedir. Engelli nüfus içinde okuma yazma bilmeyenlerin toplam oranı %23,3’tür. Engellilerin sadece %2,6’sı yükseköğretime devam edebilmektedir. Etnik ve dini gruplara mensup engelliler hakkında resmi istatistik bulunmamaktadır.</w:t>
      </w:r>
      <w:bookmarkEnd w:id="2"/>
    </w:p>
    <w:p w:rsidR="008755DA" w:rsidRPr="003F451C" w:rsidRDefault="008755DA" w:rsidP="00A02A40">
      <w:pPr>
        <w:pStyle w:val="NormalWeb"/>
        <w:numPr>
          <w:ilvl w:val="0"/>
          <w:numId w:val="10"/>
        </w:numPr>
        <w:spacing w:before="0" w:beforeAutospacing="0" w:after="160" w:afterAutospacing="0" w:line="276" w:lineRule="auto"/>
        <w:jc w:val="both"/>
        <w:rPr>
          <w:rFonts w:ascii="Arial" w:eastAsiaTheme="minorHAnsi" w:hAnsi="Arial" w:cs="Arial"/>
          <w:lang w:eastAsia="en-US"/>
        </w:rPr>
      </w:pPr>
      <w:r w:rsidRPr="003F451C">
        <w:rPr>
          <w:rFonts w:ascii="Arial" w:eastAsiaTheme="minorHAnsi" w:hAnsi="Arial" w:cs="Arial"/>
          <w:lang w:eastAsia="en-US"/>
        </w:rPr>
        <w:t xml:space="preserve">Sözleşme’nin uygulanmasını izlemekle görevli olan ve Ulusal Önleme </w:t>
      </w:r>
      <w:r w:rsidR="005E65C9" w:rsidRPr="003F451C">
        <w:rPr>
          <w:rFonts w:ascii="Arial" w:eastAsiaTheme="minorHAnsi" w:hAnsi="Arial" w:cs="Arial"/>
          <w:lang w:eastAsia="en-US"/>
        </w:rPr>
        <w:t>M</w:t>
      </w:r>
      <w:r w:rsidRPr="003F451C">
        <w:rPr>
          <w:rFonts w:ascii="Arial" w:eastAsiaTheme="minorHAnsi" w:hAnsi="Arial" w:cs="Arial"/>
          <w:lang w:eastAsia="en-US"/>
        </w:rPr>
        <w:t>ekanizması olarak oluşturulan TİHEK</w:t>
      </w:r>
      <w:r w:rsidR="00BD706E">
        <w:rPr>
          <w:rFonts w:ascii="Arial" w:eastAsiaTheme="minorHAnsi" w:hAnsi="Arial" w:cs="Arial"/>
          <w:lang w:eastAsia="en-US"/>
        </w:rPr>
        <w:t>,</w:t>
      </w:r>
      <w:r w:rsidRPr="003F451C">
        <w:rPr>
          <w:rFonts w:ascii="Arial" w:eastAsiaTheme="minorHAnsi" w:hAnsi="Arial" w:cs="Arial"/>
          <w:lang w:eastAsia="en-US"/>
        </w:rPr>
        <w:t xml:space="preserve"> Paris İlkeleri</w:t>
      </w:r>
      <w:r w:rsidR="00F27144">
        <w:rPr>
          <w:rFonts w:ascii="Arial" w:eastAsiaTheme="minorHAnsi" w:hAnsi="Arial" w:cs="Arial"/>
          <w:lang w:eastAsia="en-US"/>
        </w:rPr>
        <w:t>nce belirlenen</w:t>
      </w:r>
      <w:r w:rsidRPr="003F451C">
        <w:rPr>
          <w:rFonts w:ascii="Arial" w:eastAsiaTheme="minorHAnsi" w:hAnsi="Arial" w:cs="Arial"/>
          <w:lang w:eastAsia="en-US"/>
        </w:rPr>
        <w:t xml:space="preserve"> standartlar</w:t>
      </w:r>
      <w:r w:rsidR="005314A4">
        <w:rPr>
          <w:rFonts w:ascii="Arial" w:eastAsiaTheme="minorHAnsi" w:hAnsi="Arial" w:cs="Arial"/>
          <w:lang w:eastAsia="en-US"/>
        </w:rPr>
        <w:t>a</w:t>
      </w:r>
      <w:r w:rsidRPr="003F451C">
        <w:rPr>
          <w:rFonts w:ascii="Arial" w:eastAsiaTheme="minorHAnsi" w:hAnsi="Arial" w:cs="Arial"/>
          <w:lang w:eastAsia="en-US"/>
        </w:rPr>
        <w:t xml:space="preserve"> uygun etkili bir mekanizma değildir.</w:t>
      </w:r>
    </w:p>
    <w:p w:rsidR="005B5113" w:rsidRPr="003F451C" w:rsidRDefault="005B5113" w:rsidP="00A02A40">
      <w:pPr>
        <w:pStyle w:val="NormalWeb"/>
        <w:spacing w:before="0" w:beforeAutospacing="0" w:after="160" w:afterAutospacing="0" w:line="276" w:lineRule="auto"/>
        <w:jc w:val="both"/>
        <w:rPr>
          <w:rFonts w:ascii="Arial" w:eastAsiaTheme="minorHAnsi" w:hAnsi="Arial" w:cs="Arial"/>
          <w:b/>
          <w:lang w:eastAsia="en-US"/>
        </w:rPr>
      </w:pPr>
    </w:p>
    <w:p w:rsidR="008755DA" w:rsidRPr="003F451C" w:rsidRDefault="008755DA" w:rsidP="00A02A40">
      <w:pPr>
        <w:pStyle w:val="NormalWeb"/>
        <w:spacing w:before="0" w:beforeAutospacing="0" w:after="160" w:afterAutospacing="0" w:line="276" w:lineRule="auto"/>
        <w:jc w:val="both"/>
        <w:rPr>
          <w:rFonts w:ascii="Arial" w:eastAsiaTheme="minorHAnsi" w:hAnsi="Arial" w:cs="Arial"/>
          <w:b/>
          <w:lang w:eastAsia="en-US"/>
        </w:rPr>
      </w:pPr>
      <w:r w:rsidRPr="003F451C">
        <w:rPr>
          <w:rFonts w:ascii="Arial" w:eastAsiaTheme="minorHAnsi" w:hAnsi="Arial" w:cs="Arial"/>
          <w:b/>
          <w:lang w:eastAsia="en-US"/>
        </w:rPr>
        <w:t>Tavsiyelerimiz</w:t>
      </w:r>
      <w:r w:rsidR="00BA68A7" w:rsidRPr="003F451C">
        <w:rPr>
          <w:rFonts w:ascii="Arial" w:eastAsiaTheme="minorHAnsi" w:hAnsi="Arial" w:cs="Arial"/>
          <w:b/>
          <w:lang w:eastAsia="en-US"/>
        </w:rPr>
        <w:t>;</w:t>
      </w:r>
    </w:p>
    <w:p w:rsidR="002F411C" w:rsidRPr="003F451C" w:rsidRDefault="008755DA" w:rsidP="00A02A40">
      <w:pPr>
        <w:pStyle w:val="ListeParagraf"/>
        <w:numPr>
          <w:ilvl w:val="0"/>
          <w:numId w:val="10"/>
        </w:numPr>
        <w:spacing w:line="276" w:lineRule="auto"/>
        <w:jc w:val="both"/>
        <w:rPr>
          <w:rFonts w:ascii="Arial" w:hAnsi="Arial" w:cs="Arial"/>
          <w:sz w:val="24"/>
          <w:szCs w:val="24"/>
        </w:rPr>
      </w:pPr>
      <w:r w:rsidRPr="003F451C">
        <w:rPr>
          <w:rFonts w:ascii="Arial" w:hAnsi="Arial" w:cs="Arial"/>
          <w:sz w:val="24"/>
          <w:szCs w:val="24"/>
        </w:rPr>
        <w:t>Türkiye mevzuatı</w:t>
      </w:r>
      <w:r w:rsidR="00BA68A7" w:rsidRPr="003F451C">
        <w:rPr>
          <w:rFonts w:ascii="Arial" w:hAnsi="Arial" w:cs="Arial"/>
          <w:sz w:val="24"/>
          <w:szCs w:val="24"/>
        </w:rPr>
        <w:t>,</w:t>
      </w:r>
      <w:r w:rsidRPr="003F451C">
        <w:rPr>
          <w:rFonts w:ascii="Arial" w:hAnsi="Arial" w:cs="Arial"/>
          <w:sz w:val="24"/>
          <w:szCs w:val="24"/>
        </w:rPr>
        <w:t xml:space="preserve"> Sözleşme ile uyumlu hale getirilmeli ve 5174 sayılı Kanun Md. 74 (e) ve 2802 sayılı Kanun Md. 8 (g) benzeri ayrımcı hükümler kaldırılmalı ve iç hukuk sözleşmenin insan hakları temelli yaklaşımı ile uyumlu hale getirilmeli</w:t>
      </w:r>
      <w:r w:rsidR="00A0244D">
        <w:rPr>
          <w:rFonts w:ascii="Arial" w:hAnsi="Arial" w:cs="Arial"/>
          <w:sz w:val="24"/>
          <w:szCs w:val="24"/>
        </w:rPr>
        <w:t>dir</w:t>
      </w:r>
      <w:r w:rsidRPr="003F451C">
        <w:rPr>
          <w:rFonts w:ascii="Arial" w:hAnsi="Arial" w:cs="Arial"/>
          <w:sz w:val="24"/>
          <w:szCs w:val="24"/>
        </w:rPr>
        <w:t>,</w:t>
      </w:r>
    </w:p>
    <w:p w:rsidR="002F411C" w:rsidRPr="003F451C" w:rsidRDefault="002F411C" w:rsidP="00A02A40">
      <w:pPr>
        <w:pStyle w:val="ListeParagraf"/>
        <w:spacing w:line="276" w:lineRule="auto"/>
        <w:jc w:val="both"/>
        <w:rPr>
          <w:rFonts w:ascii="Arial" w:hAnsi="Arial" w:cs="Arial"/>
          <w:sz w:val="24"/>
          <w:szCs w:val="24"/>
        </w:rPr>
      </w:pPr>
    </w:p>
    <w:p w:rsidR="002F411C" w:rsidRPr="003F451C" w:rsidRDefault="008755DA" w:rsidP="00A02A40">
      <w:pPr>
        <w:pStyle w:val="ListeParagraf"/>
        <w:numPr>
          <w:ilvl w:val="0"/>
          <w:numId w:val="10"/>
        </w:numPr>
        <w:spacing w:line="276" w:lineRule="auto"/>
        <w:jc w:val="both"/>
        <w:rPr>
          <w:rFonts w:ascii="Arial" w:hAnsi="Arial" w:cs="Arial"/>
          <w:sz w:val="24"/>
          <w:szCs w:val="24"/>
        </w:rPr>
      </w:pPr>
      <w:r w:rsidRPr="003F451C">
        <w:rPr>
          <w:rFonts w:ascii="Arial" w:hAnsi="Arial" w:cs="Arial"/>
          <w:sz w:val="24"/>
          <w:szCs w:val="24"/>
        </w:rPr>
        <w:lastRenderedPageBreak/>
        <w:t>Engelliler Hakkında Kanun’a ayrımcılık failleri için cezai müeyyideler eklenmeli ve ayrımcılık iddiaları hakkında etkili soruşturma yapılmalı</w:t>
      </w:r>
      <w:r w:rsidR="00B42F10">
        <w:rPr>
          <w:rFonts w:ascii="Arial" w:hAnsi="Arial" w:cs="Arial"/>
          <w:sz w:val="24"/>
          <w:szCs w:val="24"/>
        </w:rPr>
        <w:t>dır</w:t>
      </w:r>
      <w:r w:rsidRPr="003F451C">
        <w:rPr>
          <w:rFonts w:ascii="Arial" w:hAnsi="Arial" w:cs="Arial"/>
          <w:sz w:val="24"/>
          <w:szCs w:val="24"/>
        </w:rPr>
        <w:t>,</w:t>
      </w:r>
    </w:p>
    <w:p w:rsidR="002F411C" w:rsidRPr="003F451C" w:rsidRDefault="002F411C" w:rsidP="00A02A40">
      <w:pPr>
        <w:pStyle w:val="ListeParagraf"/>
        <w:spacing w:line="276" w:lineRule="auto"/>
        <w:jc w:val="both"/>
        <w:rPr>
          <w:rFonts w:ascii="Arial" w:hAnsi="Arial" w:cs="Arial"/>
          <w:sz w:val="24"/>
          <w:szCs w:val="24"/>
        </w:rPr>
      </w:pPr>
    </w:p>
    <w:p w:rsidR="002F411C" w:rsidRPr="003F451C" w:rsidRDefault="008755DA" w:rsidP="00A02A40">
      <w:pPr>
        <w:pStyle w:val="ListeParagraf"/>
        <w:numPr>
          <w:ilvl w:val="0"/>
          <w:numId w:val="10"/>
        </w:numPr>
        <w:spacing w:line="276" w:lineRule="auto"/>
        <w:jc w:val="both"/>
        <w:rPr>
          <w:rFonts w:ascii="Arial" w:hAnsi="Arial" w:cs="Arial"/>
          <w:sz w:val="24"/>
          <w:szCs w:val="24"/>
        </w:rPr>
      </w:pPr>
      <w:r w:rsidRPr="003F451C">
        <w:rPr>
          <w:rFonts w:ascii="Arial" w:hAnsi="Arial" w:cs="Arial"/>
          <w:sz w:val="24"/>
          <w:szCs w:val="24"/>
        </w:rPr>
        <w:t>Sözleşmenin uygulanmasının izlenmesine engelli kişiler ile sivil toplum örgütlerinin etkin katılımı sağlanmalı</w:t>
      </w:r>
      <w:r w:rsidR="00DF3736">
        <w:rPr>
          <w:rFonts w:ascii="Arial" w:hAnsi="Arial" w:cs="Arial"/>
          <w:sz w:val="24"/>
          <w:szCs w:val="24"/>
        </w:rPr>
        <w:t>dır</w:t>
      </w:r>
      <w:r w:rsidRPr="003F451C">
        <w:rPr>
          <w:rFonts w:ascii="Arial" w:hAnsi="Arial" w:cs="Arial"/>
          <w:sz w:val="24"/>
          <w:szCs w:val="24"/>
        </w:rPr>
        <w:t>,</w:t>
      </w:r>
    </w:p>
    <w:p w:rsidR="002F411C" w:rsidRPr="003F451C" w:rsidRDefault="002F411C" w:rsidP="00A02A40">
      <w:pPr>
        <w:pStyle w:val="ListeParagraf"/>
        <w:spacing w:line="276" w:lineRule="auto"/>
        <w:jc w:val="both"/>
        <w:rPr>
          <w:rFonts w:ascii="Arial" w:hAnsi="Arial" w:cs="Arial"/>
          <w:sz w:val="24"/>
          <w:szCs w:val="24"/>
        </w:rPr>
      </w:pPr>
    </w:p>
    <w:p w:rsidR="002F411C" w:rsidRPr="003F451C" w:rsidRDefault="008755DA" w:rsidP="00A02A40">
      <w:pPr>
        <w:pStyle w:val="ListeParagraf"/>
        <w:numPr>
          <w:ilvl w:val="0"/>
          <w:numId w:val="10"/>
        </w:numPr>
        <w:spacing w:line="276" w:lineRule="auto"/>
        <w:jc w:val="both"/>
        <w:rPr>
          <w:rFonts w:ascii="Arial" w:hAnsi="Arial" w:cs="Arial"/>
          <w:sz w:val="24"/>
          <w:szCs w:val="24"/>
        </w:rPr>
      </w:pPr>
      <w:r w:rsidRPr="003F451C">
        <w:rPr>
          <w:rFonts w:ascii="Arial" w:hAnsi="Arial" w:cs="Arial"/>
          <w:sz w:val="24"/>
          <w:szCs w:val="24"/>
        </w:rPr>
        <w:t>TİHEK Kanunu’nda sivil toplumun görüşleri de alınarak Paris ilkelerine uygun bağımsız bir mekanizmanın oluşturulması için gerekli değişiklikler yapılmalı</w:t>
      </w:r>
      <w:r w:rsidR="00575FD1">
        <w:rPr>
          <w:rFonts w:ascii="Arial" w:hAnsi="Arial" w:cs="Arial"/>
          <w:sz w:val="24"/>
          <w:szCs w:val="24"/>
        </w:rPr>
        <w:t>dır</w:t>
      </w:r>
      <w:r w:rsidRPr="003F451C">
        <w:rPr>
          <w:rFonts w:ascii="Arial" w:hAnsi="Arial" w:cs="Arial"/>
          <w:sz w:val="24"/>
          <w:szCs w:val="24"/>
        </w:rPr>
        <w:t>,</w:t>
      </w:r>
    </w:p>
    <w:p w:rsidR="002F411C" w:rsidRPr="003F451C" w:rsidRDefault="002F411C" w:rsidP="00A02A40">
      <w:pPr>
        <w:pStyle w:val="ListeParagraf"/>
        <w:spacing w:line="276" w:lineRule="auto"/>
        <w:jc w:val="both"/>
        <w:rPr>
          <w:rFonts w:ascii="Arial" w:hAnsi="Arial" w:cs="Arial"/>
          <w:sz w:val="24"/>
          <w:szCs w:val="24"/>
        </w:rPr>
      </w:pPr>
    </w:p>
    <w:p w:rsidR="002F411C" w:rsidRPr="003F451C" w:rsidRDefault="002F411C" w:rsidP="00A02A40">
      <w:pPr>
        <w:pStyle w:val="ListeParagraf"/>
        <w:numPr>
          <w:ilvl w:val="0"/>
          <w:numId w:val="10"/>
        </w:numPr>
        <w:spacing w:line="276" w:lineRule="auto"/>
        <w:jc w:val="both"/>
        <w:rPr>
          <w:rFonts w:ascii="Arial" w:hAnsi="Arial" w:cs="Arial"/>
          <w:sz w:val="24"/>
          <w:szCs w:val="24"/>
        </w:rPr>
      </w:pPr>
      <w:r w:rsidRPr="003F451C">
        <w:rPr>
          <w:rFonts w:ascii="Arial" w:hAnsi="Arial" w:cs="Arial"/>
          <w:sz w:val="24"/>
          <w:szCs w:val="24"/>
        </w:rPr>
        <w:t xml:space="preserve"> </w:t>
      </w:r>
      <w:r w:rsidR="008755DA" w:rsidRPr="003F451C">
        <w:rPr>
          <w:rFonts w:ascii="Arial" w:hAnsi="Arial" w:cs="Arial"/>
          <w:sz w:val="24"/>
          <w:szCs w:val="24"/>
        </w:rPr>
        <w:t>Kapalı kurumlar (bakımevleri, cezaevleri vb.) bağımsız izlemeye açık değildir. Bu nedenle bu kurumlarda, özellikle kamu görevlilerinin faili olduğu kötü muamele ya da ayrımcılık vakaları ya da iddiaları konusunda bilgiye erişilememektedir. Engelli kişilerin bulunduğu tüm kapalı kurumlar bağımsız izlemeye açılmalı</w:t>
      </w:r>
      <w:r w:rsidR="00892150">
        <w:rPr>
          <w:rFonts w:ascii="Arial" w:hAnsi="Arial" w:cs="Arial"/>
          <w:sz w:val="24"/>
          <w:szCs w:val="24"/>
        </w:rPr>
        <w:t>dır</w:t>
      </w:r>
      <w:r w:rsidR="008755DA" w:rsidRPr="003F451C">
        <w:rPr>
          <w:rFonts w:ascii="Arial" w:hAnsi="Arial" w:cs="Arial"/>
          <w:sz w:val="24"/>
          <w:szCs w:val="24"/>
        </w:rPr>
        <w:t xml:space="preserve">,  </w:t>
      </w:r>
    </w:p>
    <w:p w:rsidR="002F411C" w:rsidRPr="003F451C" w:rsidRDefault="002F411C" w:rsidP="00A02A40">
      <w:pPr>
        <w:pStyle w:val="ListeParagraf"/>
        <w:spacing w:line="276" w:lineRule="auto"/>
        <w:jc w:val="both"/>
        <w:rPr>
          <w:rFonts w:ascii="Arial" w:hAnsi="Arial" w:cs="Arial"/>
          <w:sz w:val="24"/>
          <w:szCs w:val="24"/>
        </w:rPr>
      </w:pPr>
    </w:p>
    <w:p w:rsidR="002F411C" w:rsidRPr="003F451C" w:rsidRDefault="008755DA" w:rsidP="00A02A40">
      <w:pPr>
        <w:pStyle w:val="ListeParagraf"/>
        <w:numPr>
          <w:ilvl w:val="0"/>
          <w:numId w:val="10"/>
        </w:numPr>
        <w:spacing w:line="276" w:lineRule="auto"/>
        <w:jc w:val="both"/>
        <w:rPr>
          <w:rFonts w:ascii="Arial" w:hAnsi="Arial" w:cs="Arial"/>
          <w:sz w:val="24"/>
          <w:szCs w:val="24"/>
        </w:rPr>
      </w:pPr>
      <w:bookmarkStart w:id="3" w:name="_Hlk25661359"/>
      <w:r w:rsidRPr="003F451C">
        <w:rPr>
          <w:rFonts w:ascii="Arial" w:hAnsi="Arial" w:cs="Arial"/>
          <w:sz w:val="24"/>
          <w:szCs w:val="24"/>
        </w:rPr>
        <w:t>EHİS</w:t>
      </w:r>
      <w:bookmarkEnd w:id="3"/>
      <w:r w:rsidRPr="003F451C">
        <w:rPr>
          <w:rFonts w:ascii="Arial" w:hAnsi="Arial" w:cs="Arial"/>
          <w:sz w:val="24"/>
          <w:szCs w:val="24"/>
        </w:rPr>
        <w:t xml:space="preserve"> gereğince bir yükümlülük olan istatistik oluşturmak için; kişisel verilerin gizliliği ilkesine uygun bir metodoloji ile engelli nüfus ile ilgili güncel, kapsayıcı ve ayrıştırılmış (yaş, cinsiyet, engel türü, coğrafik dağılım vb.) veri toplanması, verilerin kamuoyuyla şeffaf bir şekilde paylaşılması ve istatistik toplanması sürecinin engelliler, </w:t>
      </w:r>
      <w:r w:rsidR="00F464EC">
        <w:rPr>
          <w:rFonts w:ascii="Arial" w:hAnsi="Arial" w:cs="Arial"/>
          <w:sz w:val="24"/>
          <w:szCs w:val="24"/>
        </w:rPr>
        <w:t>e</w:t>
      </w:r>
      <w:r w:rsidRPr="003F451C">
        <w:rPr>
          <w:rFonts w:ascii="Arial" w:hAnsi="Arial" w:cs="Arial"/>
          <w:sz w:val="24"/>
          <w:szCs w:val="24"/>
        </w:rPr>
        <w:t xml:space="preserve">ngelli </w:t>
      </w:r>
      <w:r w:rsidR="00F464EC">
        <w:rPr>
          <w:rFonts w:ascii="Arial" w:hAnsi="Arial" w:cs="Arial"/>
          <w:sz w:val="24"/>
          <w:szCs w:val="24"/>
        </w:rPr>
        <w:t>t</w:t>
      </w:r>
      <w:r w:rsidRPr="003F451C">
        <w:rPr>
          <w:rFonts w:ascii="Arial" w:hAnsi="Arial" w:cs="Arial"/>
          <w:sz w:val="24"/>
          <w:szCs w:val="24"/>
        </w:rPr>
        <w:t xml:space="preserve">emsilci </w:t>
      </w:r>
      <w:r w:rsidR="00F464EC">
        <w:rPr>
          <w:rFonts w:ascii="Arial" w:hAnsi="Arial" w:cs="Arial"/>
          <w:sz w:val="24"/>
          <w:szCs w:val="24"/>
        </w:rPr>
        <w:t>ö</w:t>
      </w:r>
      <w:r w:rsidRPr="003F451C">
        <w:rPr>
          <w:rFonts w:ascii="Arial" w:hAnsi="Arial" w:cs="Arial"/>
          <w:sz w:val="24"/>
          <w:szCs w:val="24"/>
        </w:rPr>
        <w:t>rgütleri ile ilgili sivil toplum örgütlerini katılımı ile planlanma</w:t>
      </w:r>
      <w:r w:rsidR="008E17A4">
        <w:rPr>
          <w:rFonts w:ascii="Arial" w:hAnsi="Arial" w:cs="Arial"/>
          <w:sz w:val="24"/>
          <w:szCs w:val="24"/>
        </w:rPr>
        <w:t>lı</w:t>
      </w:r>
      <w:r w:rsidRPr="003F451C">
        <w:rPr>
          <w:rFonts w:ascii="Arial" w:hAnsi="Arial" w:cs="Arial"/>
          <w:sz w:val="24"/>
          <w:szCs w:val="24"/>
        </w:rPr>
        <w:t xml:space="preserve"> ve uygulanma</w:t>
      </w:r>
      <w:r w:rsidR="008E17A4">
        <w:rPr>
          <w:rFonts w:ascii="Arial" w:hAnsi="Arial" w:cs="Arial"/>
          <w:sz w:val="24"/>
          <w:szCs w:val="24"/>
        </w:rPr>
        <w:t>lıdır</w:t>
      </w:r>
      <w:r w:rsidRPr="003F451C">
        <w:rPr>
          <w:rFonts w:ascii="Arial" w:hAnsi="Arial" w:cs="Arial"/>
          <w:sz w:val="24"/>
          <w:szCs w:val="24"/>
        </w:rPr>
        <w:t>,</w:t>
      </w:r>
    </w:p>
    <w:p w:rsidR="002F411C" w:rsidRPr="003F451C" w:rsidRDefault="002F411C" w:rsidP="00A02A40">
      <w:pPr>
        <w:pStyle w:val="ListeParagraf"/>
        <w:spacing w:line="276" w:lineRule="auto"/>
        <w:jc w:val="both"/>
        <w:rPr>
          <w:rFonts w:ascii="Arial" w:hAnsi="Arial" w:cs="Arial"/>
          <w:sz w:val="24"/>
          <w:szCs w:val="24"/>
        </w:rPr>
      </w:pPr>
    </w:p>
    <w:p w:rsidR="002F411C" w:rsidRPr="003F451C" w:rsidRDefault="008755DA" w:rsidP="00A02A40">
      <w:pPr>
        <w:pStyle w:val="ListeParagraf"/>
        <w:numPr>
          <w:ilvl w:val="0"/>
          <w:numId w:val="10"/>
        </w:numPr>
        <w:spacing w:line="276" w:lineRule="auto"/>
        <w:jc w:val="both"/>
        <w:rPr>
          <w:rFonts w:ascii="Arial" w:hAnsi="Arial" w:cs="Arial"/>
          <w:sz w:val="24"/>
          <w:szCs w:val="24"/>
        </w:rPr>
      </w:pPr>
      <w:r w:rsidRPr="003F451C">
        <w:rPr>
          <w:rFonts w:ascii="Arial" w:hAnsi="Arial" w:cs="Arial"/>
          <w:sz w:val="24"/>
          <w:szCs w:val="24"/>
        </w:rPr>
        <w:t>Adli süreçlerde</w:t>
      </w:r>
      <w:r w:rsidR="00BA68A7" w:rsidRPr="003F451C">
        <w:rPr>
          <w:rFonts w:ascii="Arial" w:hAnsi="Arial" w:cs="Arial"/>
          <w:sz w:val="24"/>
          <w:szCs w:val="24"/>
        </w:rPr>
        <w:t>,</w:t>
      </w:r>
      <w:r w:rsidRPr="003F451C">
        <w:rPr>
          <w:rFonts w:ascii="Arial" w:hAnsi="Arial" w:cs="Arial"/>
          <w:sz w:val="24"/>
          <w:szCs w:val="24"/>
        </w:rPr>
        <w:t xml:space="preserve"> (soruşturma da </w:t>
      </w:r>
      <w:r w:rsidR="003D3A90" w:rsidRPr="003F451C">
        <w:rPr>
          <w:rFonts w:ascii="Arial" w:hAnsi="Arial" w:cs="Arial"/>
          <w:sz w:val="24"/>
          <w:szCs w:val="24"/>
        </w:rPr>
        <w:t>dâhil</w:t>
      </w:r>
      <w:r w:rsidRPr="003F451C">
        <w:rPr>
          <w:rFonts w:ascii="Arial" w:hAnsi="Arial" w:cs="Arial"/>
          <w:sz w:val="24"/>
          <w:szCs w:val="24"/>
        </w:rPr>
        <w:t xml:space="preserve"> olmak üzere) bilgiye erişime ilişkin yükümlülüklerin uygulanması için zamanlanmış, bütçesi ve kıstas noktaları olan bir adalete eşit erişim planın geliştirilerek kamuya açık olarak yayınlanma</w:t>
      </w:r>
      <w:r w:rsidR="0034280C">
        <w:rPr>
          <w:rFonts w:ascii="Arial" w:hAnsi="Arial" w:cs="Arial"/>
          <w:sz w:val="24"/>
          <w:szCs w:val="24"/>
        </w:rPr>
        <w:t>lı</w:t>
      </w:r>
      <w:r w:rsidRPr="003F451C">
        <w:rPr>
          <w:rFonts w:ascii="Arial" w:hAnsi="Arial" w:cs="Arial"/>
          <w:sz w:val="24"/>
          <w:szCs w:val="24"/>
        </w:rPr>
        <w:t xml:space="preserve"> ve engelli temsilci örgütleri ile sivil toplum kuruluşlarının katılımı ile uygulamaya </w:t>
      </w:r>
      <w:r w:rsidR="008E17A4">
        <w:rPr>
          <w:rFonts w:ascii="Arial" w:hAnsi="Arial" w:cs="Arial"/>
          <w:sz w:val="24"/>
          <w:szCs w:val="24"/>
        </w:rPr>
        <w:t>geçirilmelidir</w:t>
      </w:r>
      <w:r w:rsidRPr="003F451C">
        <w:rPr>
          <w:rFonts w:ascii="Arial" w:hAnsi="Arial" w:cs="Arial"/>
          <w:sz w:val="24"/>
          <w:szCs w:val="24"/>
        </w:rPr>
        <w:t>,</w:t>
      </w:r>
    </w:p>
    <w:p w:rsidR="002F411C" w:rsidRPr="003F451C" w:rsidRDefault="002F411C" w:rsidP="00A02A40">
      <w:pPr>
        <w:pStyle w:val="ListeParagraf"/>
        <w:spacing w:line="276" w:lineRule="auto"/>
        <w:jc w:val="both"/>
        <w:rPr>
          <w:rFonts w:ascii="Arial" w:hAnsi="Arial" w:cs="Arial"/>
          <w:sz w:val="24"/>
          <w:szCs w:val="24"/>
        </w:rPr>
      </w:pPr>
    </w:p>
    <w:p w:rsidR="002F411C" w:rsidRPr="003F451C" w:rsidRDefault="008755DA" w:rsidP="00A02A40">
      <w:pPr>
        <w:pStyle w:val="ListeParagraf"/>
        <w:numPr>
          <w:ilvl w:val="0"/>
          <w:numId w:val="10"/>
        </w:numPr>
        <w:spacing w:line="276" w:lineRule="auto"/>
        <w:jc w:val="both"/>
        <w:rPr>
          <w:rFonts w:ascii="Arial" w:hAnsi="Arial" w:cs="Arial"/>
          <w:sz w:val="24"/>
          <w:szCs w:val="24"/>
        </w:rPr>
      </w:pPr>
      <w:r w:rsidRPr="003F451C">
        <w:rPr>
          <w:rFonts w:ascii="Arial" w:hAnsi="Arial" w:cs="Arial"/>
          <w:sz w:val="24"/>
          <w:szCs w:val="24"/>
        </w:rPr>
        <w:t>Mahkemelerde görev yapan işaret dili tercümanlarının sayı ve nitelik olarak eksiklikleri giderilm</w:t>
      </w:r>
      <w:r w:rsidR="00D82A86">
        <w:rPr>
          <w:rFonts w:ascii="Arial" w:hAnsi="Arial" w:cs="Arial"/>
          <w:sz w:val="24"/>
          <w:szCs w:val="24"/>
        </w:rPr>
        <w:t>eli</w:t>
      </w:r>
      <w:r w:rsidRPr="003F451C">
        <w:rPr>
          <w:rFonts w:ascii="Arial" w:hAnsi="Arial" w:cs="Arial"/>
          <w:sz w:val="24"/>
          <w:szCs w:val="24"/>
        </w:rPr>
        <w:t>, işaret dili tercümesi konusunda bir standart belirlenme</w:t>
      </w:r>
      <w:r w:rsidR="00000603">
        <w:rPr>
          <w:rFonts w:ascii="Arial" w:hAnsi="Arial" w:cs="Arial"/>
          <w:sz w:val="24"/>
          <w:szCs w:val="24"/>
        </w:rPr>
        <w:t>li</w:t>
      </w:r>
      <w:r w:rsidRPr="003F451C">
        <w:rPr>
          <w:rFonts w:ascii="Arial" w:hAnsi="Arial" w:cs="Arial"/>
          <w:sz w:val="24"/>
          <w:szCs w:val="24"/>
        </w:rPr>
        <w:t xml:space="preserve"> ve tüm adli süreçlerde çevirmenler bulundurul</w:t>
      </w:r>
      <w:r w:rsidR="00000603">
        <w:rPr>
          <w:rFonts w:ascii="Arial" w:hAnsi="Arial" w:cs="Arial"/>
          <w:sz w:val="24"/>
          <w:szCs w:val="24"/>
        </w:rPr>
        <w:t>malıdır</w:t>
      </w:r>
      <w:r w:rsidRPr="003F451C">
        <w:rPr>
          <w:rFonts w:ascii="Arial" w:hAnsi="Arial" w:cs="Arial"/>
          <w:sz w:val="24"/>
          <w:szCs w:val="24"/>
        </w:rPr>
        <w:t>,</w:t>
      </w:r>
    </w:p>
    <w:p w:rsidR="002F411C" w:rsidRPr="003F451C" w:rsidRDefault="002F411C" w:rsidP="00A02A40">
      <w:pPr>
        <w:pStyle w:val="ListeParagraf"/>
        <w:spacing w:line="276" w:lineRule="auto"/>
        <w:jc w:val="both"/>
        <w:rPr>
          <w:rFonts w:ascii="Arial" w:hAnsi="Arial" w:cs="Arial"/>
          <w:sz w:val="24"/>
          <w:szCs w:val="24"/>
        </w:rPr>
      </w:pPr>
    </w:p>
    <w:p w:rsidR="008755DA" w:rsidRPr="003F451C" w:rsidRDefault="008755DA" w:rsidP="00A02A40">
      <w:pPr>
        <w:pStyle w:val="ListeParagraf"/>
        <w:numPr>
          <w:ilvl w:val="0"/>
          <w:numId w:val="10"/>
        </w:numPr>
        <w:spacing w:line="276" w:lineRule="auto"/>
        <w:jc w:val="both"/>
        <w:rPr>
          <w:rFonts w:ascii="Arial" w:hAnsi="Arial" w:cs="Arial"/>
          <w:sz w:val="24"/>
          <w:szCs w:val="24"/>
        </w:rPr>
      </w:pPr>
      <w:r w:rsidRPr="003F451C">
        <w:rPr>
          <w:rFonts w:ascii="Arial" w:hAnsi="Arial" w:cs="Arial"/>
          <w:sz w:val="24"/>
          <w:szCs w:val="24"/>
        </w:rPr>
        <w:t>Medeni Kanun’un Md. 405 uyarınca, zihinsel ve psiko-sosyal engelli kişilerin hukuki ehliyeti vesayet sistemi ile kısıtlanmaktadır. Hukuki ehliyeti kısıtlayan ve vesayet sistemini düzenleyen yasa maddeleri değiştirilmeli, vesayet sisteminin yerine kişiselle</w:t>
      </w:r>
      <w:r w:rsidR="00BA68A7" w:rsidRPr="003F451C">
        <w:rPr>
          <w:rFonts w:ascii="Arial" w:hAnsi="Arial" w:cs="Arial"/>
          <w:sz w:val="24"/>
          <w:szCs w:val="24"/>
        </w:rPr>
        <w:t>ştirilmiş destek</w:t>
      </w:r>
      <w:r w:rsidRPr="003F451C">
        <w:rPr>
          <w:rFonts w:ascii="Arial" w:hAnsi="Arial" w:cs="Arial"/>
          <w:sz w:val="24"/>
          <w:szCs w:val="24"/>
        </w:rPr>
        <w:t xml:space="preserve"> yoluyla engellilerin hukuki ehliyetlerini kullan</w:t>
      </w:r>
      <w:r w:rsidR="005B5113" w:rsidRPr="003F451C">
        <w:rPr>
          <w:rFonts w:ascii="Arial" w:hAnsi="Arial" w:cs="Arial"/>
          <w:sz w:val="24"/>
          <w:szCs w:val="24"/>
        </w:rPr>
        <w:t>acakları düzenlemeler yapılma</w:t>
      </w:r>
      <w:r w:rsidR="001242F3">
        <w:rPr>
          <w:rFonts w:ascii="Arial" w:hAnsi="Arial" w:cs="Arial"/>
          <w:sz w:val="24"/>
          <w:szCs w:val="24"/>
        </w:rPr>
        <w:t>lıdır</w:t>
      </w:r>
      <w:r w:rsidR="005B5113" w:rsidRPr="003F451C">
        <w:rPr>
          <w:rFonts w:ascii="Arial" w:hAnsi="Arial" w:cs="Arial"/>
          <w:sz w:val="24"/>
          <w:szCs w:val="24"/>
        </w:rPr>
        <w:t>.</w:t>
      </w:r>
    </w:p>
    <w:p w:rsidR="008755DA" w:rsidRPr="003F451C" w:rsidRDefault="008755DA" w:rsidP="00A02A40">
      <w:pPr>
        <w:spacing w:line="276" w:lineRule="auto"/>
        <w:jc w:val="both"/>
        <w:rPr>
          <w:rFonts w:ascii="Arial" w:hAnsi="Arial" w:cs="Arial"/>
          <w:sz w:val="24"/>
          <w:szCs w:val="24"/>
        </w:rPr>
      </w:pPr>
    </w:p>
    <w:p w:rsidR="008755DA" w:rsidRPr="003F451C" w:rsidRDefault="008755DA" w:rsidP="00A02A40">
      <w:pPr>
        <w:spacing w:line="276" w:lineRule="auto"/>
        <w:jc w:val="both"/>
        <w:rPr>
          <w:rFonts w:ascii="Arial" w:hAnsi="Arial" w:cs="Arial"/>
          <w:sz w:val="24"/>
          <w:szCs w:val="24"/>
        </w:rPr>
      </w:pPr>
      <w:r w:rsidRPr="003F451C">
        <w:rPr>
          <w:rFonts w:ascii="Arial" w:hAnsi="Arial" w:cs="Arial"/>
          <w:sz w:val="24"/>
          <w:szCs w:val="24"/>
        </w:rPr>
        <w:br w:type="page"/>
      </w:r>
    </w:p>
    <w:p w:rsidR="0097509B" w:rsidRPr="003F451C" w:rsidRDefault="0097509B" w:rsidP="00A02A40">
      <w:pPr>
        <w:pStyle w:val="Balk1"/>
        <w:spacing w:line="276" w:lineRule="auto"/>
        <w:jc w:val="both"/>
        <w:rPr>
          <w:b/>
          <w:sz w:val="28"/>
        </w:rPr>
      </w:pPr>
      <w:r w:rsidRPr="003F451C">
        <w:rPr>
          <w:b/>
          <w:sz w:val="28"/>
        </w:rPr>
        <w:lastRenderedPageBreak/>
        <w:t xml:space="preserve">Barışçıl Toplanma Özgürlüğü </w:t>
      </w:r>
    </w:p>
    <w:p w:rsidR="00B17423" w:rsidRPr="003F451C" w:rsidRDefault="00B17423" w:rsidP="00A02A40">
      <w:pPr>
        <w:spacing w:after="0" w:line="276" w:lineRule="auto"/>
        <w:jc w:val="both"/>
        <w:rPr>
          <w:rFonts w:ascii="Arial" w:hAnsi="Arial" w:cs="Arial"/>
          <w:sz w:val="24"/>
          <w:szCs w:val="24"/>
        </w:rPr>
      </w:pPr>
    </w:p>
    <w:p w:rsidR="00B17423" w:rsidRPr="003F451C" w:rsidRDefault="0097509B" w:rsidP="00A02A40">
      <w:pPr>
        <w:pStyle w:val="ListeParagraf"/>
        <w:numPr>
          <w:ilvl w:val="0"/>
          <w:numId w:val="10"/>
        </w:numPr>
        <w:spacing w:after="0" w:line="276" w:lineRule="auto"/>
        <w:jc w:val="both"/>
        <w:rPr>
          <w:rFonts w:ascii="Arial" w:hAnsi="Arial" w:cs="Arial"/>
          <w:sz w:val="24"/>
          <w:szCs w:val="24"/>
        </w:rPr>
      </w:pPr>
      <w:r w:rsidRPr="003F451C">
        <w:rPr>
          <w:rFonts w:ascii="Arial" w:hAnsi="Arial" w:cs="Arial"/>
          <w:sz w:val="24"/>
          <w:szCs w:val="24"/>
        </w:rPr>
        <w:t>Barışçıl toplanma özgürlüğüne ilişkin Anayasa Md. 34’teki düzenleme</w:t>
      </w:r>
      <w:r w:rsidR="00286614">
        <w:rPr>
          <w:rFonts w:ascii="Arial" w:hAnsi="Arial" w:cs="Arial"/>
          <w:sz w:val="24"/>
          <w:szCs w:val="24"/>
        </w:rPr>
        <w:t>,</w:t>
      </w:r>
      <w:r w:rsidR="00142FD8" w:rsidRPr="003F451C">
        <w:rPr>
          <w:vertAlign w:val="superscript"/>
        </w:rPr>
        <w:footnoteReference w:id="10"/>
      </w:r>
      <w:r w:rsidRPr="003F451C">
        <w:rPr>
          <w:rFonts w:ascii="Arial" w:hAnsi="Arial" w:cs="Arial"/>
          <w:sz w:val="24"/>
          <w:szCs w:val="24"/>
        </w:rPr>
        <w:t xml:space="preserve"> uluslararası standartlar ile uyumludur. 2911 </w:t>
      </w:r>
      <w:r w:rsidR="006B44D7">
        <w:rPr>
          <w:rFonts w:ascii="Arial" w:hAnsi="Arial" w:cs="Arial"/>
          <w:sz w:val="24"/>
          <w:szCs w:val="24"/>
        </w:rPr>
        <w:t xml:space="preserve">sayılı </w:t>
      </w:r>
      <w:r w:rsidRPr="003F451C">
        <w:rPr>
          <w:rFonts w:ascii="Arial" w:hAnsi="Arial" w:cs="Arial"/>
          <w:sz w:val="24"/>
          <w:szCs w:val="24"/>
        </w:rPr>
        <w:t>kanun</w:t>
      </w:r>
      <w:r w:rsidR="00286614">
        <w:rPr>
          <w:rFonts w:ascii="Arial" w:hAnsi="Arial" w:cs="Arial"/>
          <w:sz w:val="24"/>
          <w:szCs w:val="24"/>
        </w:rPr>
        <w:t>,</w:t>
      </w:r>
      <w:r w:rsidR="00142FD8" w:rsidRPr="003F451C">
        <w:rPr>
          <w:vertAlign w:val="superscript"/>
        </w:rPr>
        <w:footnoteReference w:id="11"/>
      </w:r>
      <w:r w:rsidRPr="003F451C">
        <w:rPr>
          <w:rFonts w:ascii="Arial" w:hAnsi="Arial" w:cs="Arial"/>
          <w:sz w:val="24"/>
          <w:szCs w:val="24"/>
        </w:rPr>
        <w:t xml:space="preserve"> t</w:t>
      </w:r>
      <w:r w:rsidR="004E6550" w:rsidRPr="003F451C">
        <w:rPr>
          <w:rFonts w:ascii="Arial" w:hAnsi="Arial" w:cs="Arial"/>
          <w:sz w:val="24"/>
          <w:szCs w:val="24"/>
        </w:rPr>
        <w:t xml:space="preserve">oplantı </w:t>
      </w:r>
      <w:r w:rsidR="00286614">
        <w:rPr>
          <w:rFonts w:ascii="Arial" w:hAnsi="Arial" w:cs="Arial"/>
          <w:sz w:val="24"/>
          <w:szCs w:val="24"/>
        </w:rPr>
        <w:t xml:space="preserve">ve </w:t>
      </w:r>
      <w:r w:rsidR="004E6550" w:rsidRPr="003F451C">
        <w:rPr>
          <w:rFonts w:ascii="Arial" w:hAnsi="Arial" w:cs="Arial"/>
          <w:sz w:val="24"/>
          <w:szCs w:val="24"/>
        </w:rPr>
        <w:t xml:space="preserve">gösteri </w:t>
      </w:r>
      <w:r w:rsidR="005B7BCD">
        <w:rPr>
          <w:rFonts w:ascii="Arial" w:hAnsi="Arial" w:cs="Arial"/>
          <w:sz w:val="24"/>
          <w:szCs w:val="24"/>
        </w:rPr>
        <w:t>hakkına</w:t>
      </w:r>
      <w:r w:rsidR="00C16517" w:rsidRPr="003F451C">
        <w:rPr>
          <w:rFonts w:ascii="Arial" w:hAnsi="Arial" w:cs="Arial"/>
          <w:sz w:val="24"/>
          <w:szCs w:val="24"/>
        </w:rPr>
        <w:t xml:space="preserve"> ilişkin </w:t>
      </w:r>
      <w:r w:rsidR="004E6550" w:rsidRPr="003F451C">
        <w:rPr>
          <w:rFonts w:ascii="Arial" w:hAnsi="Arial" w:cs="Arial"/>
          <w:sz w:val="24"/>
          <w:szCs w:val="24"/>
        </w:rPr>
        <w:t>temel kanundur a</w:t>
      </w:r>
      <w:r w:rsidRPr="003F451C">
        <w:rPr>
          <w:rFonts w:ascii="Arial" w:hAnsi="Arial" w:cs="Arial"/>
          <w:sz w:val="24"/>
          <w:szCs w:val="24"/>
        </w:rPr>
        <w:t xml:space="preserve">ncak </w:t>
      </w:r>
      <w:r w:rsidR="004E6550" w:rsidRPr="003F451C">
        <w:rPr>
          <w:rFonts w:ascii="Arial" w:hAnsi="Arial" w:cs="Arial"/>
          <w:sz w:val="24"/>
          <w:szCs w:val="24"/>
        </w:rPr>
        <w:t xml:space="preserve">başka </w:t>
      </w:r>
      <w:r w:rsidRPr="003F451C">
        <w:rPr>
          <w:rFonts w:ascii="Arial" w:hAnsi="Arial" w:cs="Arial"/>
          <w:sz w:val="24"/>
          <w:szCs w:val="24"/>
        </w:rPr>
        <w:t>pek çok kanunda</w:t>
      </w:r>
      <w:r w:rsidR="00BA68A7" w:rsidRPr="003F451C">
        <w:rPr>
          <w:rFonts w:ascii="Arial" w:hAnsi="Arial" w:cs="Arial"/>
          <w:sz w:val="24"/>
          <w:szCs w:val="24"/>
        </w:rPr>
        <w:t xml:space="preserve"> kamu idaresine tanınan yetkiler, toplantı ve gösteri hakkını kısıtlayıcı niteliktedir.</w:t>
      </w:r>
      <w:r w:rsidR="004E6550" w:rsidRPr="003F451C">
        <w:rPr>
          <w:vertAlign w:val="superscript"/>
        </w:rPr>
        <w:footnoteReference w:id="12"/>
      </w:r>
    </w:p>
    <w:p w:rsidR="00B17423" w:rsidRPr="003F451C" w:rsidRDefault="00B17423" w:rsidP="00A02A40">
      <w:pPr>
        <w:pStyle w:val="ListeParagraf"/>
        <w:spacing w:after="0" w:line="276" w:lineRule="auto"/>
        <w:jc w:val="both"/>
        <w:rPr>
          <w:rFonts w:ascii="Arial" w:hAnsi="Arial" w:cs="Arial"/>
          <w:sz w:val="24"/>
          <w:szCs w:val="24"/>
        </w:rPr>
      </w:pPr>
    </w:p>
    <w:p w:rsidR="00142442" w:rsidRPr="003F451C" w:rsidRDefault="0097509B" w:rsidP="00A02A40">
      <w:pPr>
        <w:pStyle w:val="ListeParagraf"/>
        <w:numPr>
          <w:ilvl w:val="0"/>
          <w:numId w:val="10"/>
        </w:numPr>
        <w:spacing w:after="0" w:line="276" w:lineRule="auto"/>
        <w:jc w:val="both"/>
        <w:rPr>
          <w:rFonts w:ascii="Arial" w:hAnsi="Arial" w:cs="Arial"/>
          <w:sz w:val="24"/>
          <w:szCs w:val="24"/>
        </w:rPr>
      </w:pPr>
      <w:r w:rsidRPr="003F451C">
        <w:rPr>
          <w:rFonts w:ascii="Arial" w:hAnsi="Arial" w:cs="Arial"/>
          <w:sz w:val="24"/>
          <w:szCs w:val="24"/>
        </w:rPr>
        <w:t xml:space="preserve">Özellikle </w:t>
      </w:r>
      <w:r w:rsidR="00B53CC8" w:rsidRPr="003F451C">
        <w:rPr>
          <w:rFonts w:ascii="Arial" w:hAnsi="Arial" w:cs="Arial"/>
          <w:sz w:val="24"/>
          <w:szCs w:val="24"/>
        </w:rPr>
        <w:t>5442</w:t>
      </w:r>
      <w:r w:rsidR="003F2B81" w:rsidRPr="003F451C">
        <w:rPr>
          <w:vertAlign w:val="superscript"/>
        </w:rPr>
        <w:footnoteReference w:id="13"/>
      </w:r>
      <w:r w:rsidR="00B53CC8" w:rsidRPr="003F451C">
        <w:rPr>
          <w:rFonts w:ascii="Arial" w:hAnsi="Arial" w:cs="Arial"/>
          <w:sz w:val="24"/>
          <w:szCs w:val="24"/>
        </w:rPr>
        <w:t xml:space="preserve"> sayılı ve 2559</w:t>
      </w:r>
      <w:r w:rsidR="003F2B81" w:rsidRPr="003F451C">
        <w:rPr>
          <w:vertAlign w:val="superscript"/>
        </w:rPr>
        <w:footnoteReference w:id="14"/>
      </w:r>
      <w:r w:rsidR="00B53CC8" w:rsidRPr="003F451C">
        <w:rPr>
          <w:rFonts w:ascii="Arial" w:hAnsi="Arial" w:cs="Arial"/>
          <w:sz w:val="24"/>
          <w:szCs w:val="24"/>
        </w:rPr>
        <w:t xml:space="preserve"> sayılı kanunlarda </w:t>
      </w:r>
      <w:r w:rsidRPr="003F451C">
        <w:rPr>
          <w:rFonts w:ascii="Arial" w:hAnsi="Arial" w:cs="Arial"/>
          <w:sz w:val="24"/>
          <w:szCs w:val="24"/>
        </w:rPr>
        <w:t>idareye tanınan geniş yetkiler yoluyla toplantı ve gösteriler</w:t>
      </w:r>
      <w:r w:rsidR="00122660">
        <w:rPr>
          <w:rFonts w:ascii="Arial" w:hAnsi="Arial" w:cs="Arial"/>
          <w:sz w:val="24"/>
          <w:szCs w:val="24"/>
        </w:rPr>
        <w:t>,</w:t>
      </w:r>
      <w:r w:rsidRPr="003F451C">
        <w:rPr>
          <w:rFonts w:ascii="Arial" w:hAnsi="Arial" w:cs="Arial"/>
          <w:sz w:val="24"/>
          <w:szCs w:val="24"/>
        </w:rPr>
        <w:t xml:space="preserve"> vali</w:t>
      </w:r>
      <w:r w:rsidR="00B53CC8" w:rsidRPr="003F451C">
        <w:rPr>
          <w:rFonts w:ascii="Arial" w:hAnsi="Arial" w:cs="Arial"/>
          <w:sz w:val="24"/>
          <w:szCs w:val="24"/>
        </w:rPr>
        <w:t>likler</w:t>
      </w:r>
      <w:r w:rsidR="0063748F" w:rsidRPr="003F451C">
        <w:rPr>
          <w:rFonts w:ascii="Arial" w:hAnsi="Arial" w:cs="Arial"/>
          <w:sz w:val="24"/>
          <w:szCs w:val="24"/>
        </w:rPr>
        <w:t xml:space="preserve"> ya da</w:t>
      </w:r>
      <w:r w:rsidR="00B53CC8" w:rsidRPr="003F451C">
        <w:rPr>
          <w:rFonts w:ascii="Arial" w:hAnsi="Arial" w:cs="Arial"/>
          <w:sz w:val="24"/>
          <w:szCs w:val="24"/>
        </w:rPr>
        <w:t xml:space="preserve"> </w:t>
      </w:r>
      <w:r w:rsidRPr="003F451C">
        <w:rPr>
          <w:rFonts w:ascii="Arial" w:hAnsi="Arial" w:cs="Arial"/>
          <w:sz w:val="24"/>
          <w:szCs w:val="24"/>
        </w:rPr>
        <w:t>kaymakamlıklar</w:t>
      </w:r>
      <w:r w:rsidR="00B53CC8" w:rsidRPr="003F451C">
        <w:rPr>
          <w:rFonts w:ascii="Arial" w:hAnsi="Arial" w:cs="Arial"/>
          <w:sz w:val="24"/>
          <w:szCs w:val="24"/>
        </w:rPr>
        <w:t xml:space="preserve"> </w:t>
      </w:r>
      <w:r w:rsidRPr="003F451C">
        <w:rPr>
          <w:rFonts w:ascii="Arial" w:hAnsi="Arial" w:cs="Arial"/>
          <w:sz w:val="24"/>
          <w:szCs w:val="24"/>
        </w:rPr>
        <w:t>tarafından kısıtlan</w:t>
      </w:r>
      <w:r w:rsidR="00A5472A" w:rsidRPr="003F451C">
        <w:rPr>
          <w:rFonts w:ascii="Arial" w:hAnsi="Arial" w:cs="Arial"/>
          <w:sz w:val="24"/>
          <w:szCs w:val="24"/>
        </w:rPr>
        <w:t>maktadır</w:t>
      </w:r>
      <w:r w:rsidRPr="003F451C">
        <w:rPr>
          <w:rFonts w:ascii="Arial" w:hAnsi="Arial" w:cs="Arial"/>
          <w:sz w:val="24"/>
          <w:szCs w:val="24"/>
        </w:rPr>
        <w:t xml:space="preserve">. Bu kısıtlamalar, </w:t>
      </w:r>
      <w:r w:rsidR="00B53CC8" w:rsidRPr="003F451C">
        <w:rPr>
          <w:rFonts w:ascii="Arial" w:hAnsi="Arial" w:cs="Arial"/>
          <w:sz w:val="24"/>
          <w:szCs w:val="24"/>
        </w:rPr>
        <w:t>il ya da ilçe genelinde toplantı ve gösterilerin belirli sürelerle veya süresiz olarak yasaklanması ya da örneğin 1 Mayıs</w:t>
      </w:r>
      <w:r w:rsidR="003F2B81" w:rsidRPr="003F451C">
        <w:rPr>
          <w:rFonts w:ascii="Arial" w:hAnsi="Arial" w:cs="Arial"/>
          <w:sz w:val="24"/>
          <w:szCs w:val="24"/>
        </w:rPr>
        <w:t xml:space="preserve"> kutlamalar</w:t>
      </w:r>
      <w:r w:rsidR="00122660">
        <w:rPr>
          <w:rFonts w:ascii="Arial" w:hAnsi="Arial" w:cs="Arial"/>
          <w:sz w:val="24"/>
          <w:szCs w:val="24"/>
        </w:rPr>
        <w:t>ı</w:t>
      </w:r>
      <w:r w:rsidR="00B53CC8" w:rsidRPr="003F451C">
        <w:rPr>
          <w:rFonts w:ascii="Arial" w:hAnsi="Arial" w:cs="Arial"/>
          <w:sz w:val="24"/>
          <w:szCs w:val="24"/>
        </w:rPr>
        <w:t xml:space="preserve"> gibi spesifik bir gösterinin yasaklanması şeklinde olmaktadır. </w:t>
      </w:r>
      <w:r w:rsidRPr="003F451C">
        <w:rPr>
          <w:rFonts w:ascii="Arial" w:hAnsi="Arial" w:cs="Arial"/>
          <w:sz w:val="24"/>
          <w:szCs w:val="24"/>
        </w:rPr>
        <w:t>Erişilebilen verilere göre</w:t>
      </w:r>
      <w:r w:rsidR="00B53CC8" w:rsidRPr="003F451C">
        <w:rPr>
          <w:rFonts w:ascii="Arial" w:hAnsi="Arial" w:cs="Arial"/>
          <w:sz w:val="24"/>
          <w:szCs w:val="24"/>
        </w:rPr>
        <w:t xml:space="preserve"> valilik ve kaymakamlıklar</w:t>
      </w:r>
      <w:r w:rsidRPr="003F451C">
        <w:rPr>
          <w:rFonts w:ascii="Arial" w:hAnsi="Arial" w:cs="Arial"/>
          <w:sz w:val="24"/>
          <w:szCs w:val="24"/>
        </w:rPr>
        <w:t xml:space="preserve"> 2016 yılında, 37 ilde, 52</w:t>
      </w:r>
      <w:r w:rsidR="00B53CC8" w:rsidRPr="003F451C">
        <w:rPr>
          <w:rFonts w:ascii="Arial" w:hAnsi="Arial" w:cs="Arial"/>
          <w:sz w:val="24"/>
          <w:szCs w:val="24"/>
        </w:rPr>
        <w:t xml:space="preserve"> </w:t>
      </w:r>
      <w:r w:rsidR="005E2B1A" w:rsidRPr="003F451C">
        <w:rPr>
          <w:rFonts w:ascii="Arial" w:hAnsi="Arial" w:cs="Arial"/>
          <w:sz w:val="24"/>
          <w:szCs w:val="24"/>
        </w:rPr>
        <w:t xml:space="preserve">gösteri için </w:t>
      </w:r>
      <w:r w:rsidRPr="003F451C">
        <w:rPr>
          <w:rFonts w:ascii="Arial" w:hAnsi="Arial" w:cs="Arial"/>
          <w:sz w:val="24"/>
          <w:szCs w:val="24"/>
        </w:rPr>
        <w:t>spesifik</w:t>
      </w:r>
      <w:r w:rsidR="005E2B1A" w:rsidRPr="003F451C">
        <w:rPr>
          <w:rFonts w:ascii="Arial" w:hAnsi="Arial" w:cs="Arial"/>
          <w:sz w:val="24"/>
          <w:szCs w:val="24"/>
        </w:rPr>
        <w:t xml:space="preserve"> yasaklanması </w:t>
      </w:r>
      <w:r w:rsidR="001171D1" w:rsidRPr="003F451C">
        <w:rPr>
          <w:rFonts w:ascii="Arial" w:hAnsi="Arial" w:cs="Arial"/>
          <w:sz w:val="24"/>
          <w:szCs w:val="24"/>
        </w:rPr>
        <w:t>ve 49</w:t>
      </w:r>
      <w:r w:rsidR="005E2B1A" w:rsidRPr="003F451C">
        <w:rPr>
          <w:rFonts w:ascii="Arial" w:hAnsi="Arial" w:cs="Arial"/>
          <w:sz w:val="24"/>
          <w:szCs w:val="24"/>
        </w:rPr>
        <w:t xml:space="preserve"> kez bütün gösterilerin yasaklanması olmak üzere </w:t>
      </w:r>
      <w:r w:rsidRPr="003F451C">
        <w:rPr>
          <w:rFonts w:ascii="Arial" w:hAnsi="Arial" w:cs="Arial"/>
          <w:sz w:val="24"/>
          <w:szCs w:val="24"/>
        </w:rPr>
        <w:t xml:space="preserve">toplam 101 </w:t>
      </w:r>
      <w:r w:rsidR="005E2B1A" w:rsidRPr="003F451C">
        <w:rPr>
          <w:rFonts w:ascii="Arial" w:hAnsi="Arial" w:cs="Arial"/>
          <w:sz w:val="24"/>
          <w:szCs w:val="24"/>
        </w:rPr>
        <w:t xml:space="preserve">yasaklama </w:t>
      </w:r>
      <w:r w:rsidRPr="003F451C">
        <w:rPr>
          <w:rFonts w:ascii="Arial" w:hAnsi="Arial" w:cs="Arial"/>
          <w:sz w:val="24"/>
          <w:szCs w:val="24"/>
        </w:rPr>
        <w:t>karar</w:t>
      </w:r>
      <w:r w:rsidR="005E2B1A" w:rsidRPr="003F451C">
        <w:rPr>
          <w:rFonts w:ascii="Arial" w:hAnsi="Arial" w:cs="Arial"/>
          <w:sz w:val="24"/>
          <w:szCs w:val="24"/>
        </w:rPr>
        <w:t>ı vermiştir.</w:t>
      </w:r>
      <w:r w:rsidRPr="003F451C">
        <w:rPr>
          <w:rFonts w:ascii="Arial" w:hAnsi="Arial" w:cs="Arial"/>
          <w:sz w:val="24"/>
          <w:szCs w:val="24"/>
        </w:rPr>
        <w:t xml:space="preserve"> 2017 yılında 32 ilde 73</w:t>
      </w:r>
      <w:r w:rsidR="005E2B1A" w:rsidRPr="003F451C">
        <w:rPr>
          <w:rFonts w:ascii="Arial" w:hAnsi="Arial" w:cs="Arial"/>
          <w:sz w:val="24"/>
          <w:szCs w:val="24"/>
        </w:rPr>
        <w:t xml:space="preserve"> kez bütün gösterilerin yasaklanması ve </w:t>
      </w:r>
      <w:r w:rsidRPr="003F451C">
        <w:rPr>
          <w:rFonts w:ascii="Arial" w:hAnsi="Arial" w:cs="Arial"/>
          <w:sz w:val="24"/>
          <w:szCs w:val="24"/>
        </w:rPr>
        <w:t>47</w:t>
      </w:r>
      <w:r w:rsidR="005E2B1A" w:rsidRPr="003F451C">
        <w:rPr>
          <w:rFonts w:ascii="Arial" w:hAnsi="Arial" w:cs="Arial"/>
          <w:sz w:val="24"/>
          <w:szCs w:val="24"/>
        </w:rPr>
        <w:t xml:space="preserve"> gösteri için</w:t>
      </w:r>
      <w:r w:rsidRPr="003F451C">
        <w:rPr>
          <w:rFonts w:ascii="Arial" w:hAnsi="Arial" w:cs="Arial"/>
          <w:sz w:val="24"/>
          <w:szCs w:val="24"/>
        </w:rPr>
        <w:t xml:space="preserve"> spesifik </w:t>
      </w:r>
      <w:r w:rsidR="005E2B1A" w:rsidRPr="003F451C">
        <w:rPr>
          <w:rFonts w:ascii="Arial" w:hAnsi="Arial" w:cs="Arial"/>
          <w:sz w:val="24"/>
          <w:szCs w:val="24"/>
        </w:rPr>
        <w:t xml:space="preserve">yasaklama </w:t>
      </w:r>
      <w:r w:rsidRPr="003F451C">
        <w:rPr>
          <w:rFonts w:ascii="Arial" w:hAnsi="Arial" w:cs="Arial"/>
          <w:sz w:val="24"/>
          <w:szCs w:val="24"/>
        </w:rPr>
        <w:t xml:space="preserve">olmak üzere toplam 120 </w:t>
      </w:r>
      <w:r w:rsidR="005E2B1A" w:rsidRPr="003F451C">
        <w:rPr>
          <w:rFonts w:ascii="Arial" w:hAnsi="Arial" w:cs="Arial"/>
          <w:sz w:val="24"/>
          <w:szCs w:val="24"/>
        </w:rPr>
        <w:t xml:space="preserve">yasaklama kararı vermiştir. </w:t>
      </w:r>
      <w:r w:rsidRPr="003F451C">
        <w:rPr>
          <w:rFonts w:ascii="Arial" w:hAnsi="Arial" w:cs="Arial"/>
          <w:sz w:val="24"/>
          <w:szCs w:val="24"/>
        </w:rPr>
        <w:t>2018 yılında ise 38 ilde 64</w:t>
      </w:r>
      <w:r w:rsidR="005E2B1A" w:rsidRPr="003F451C">
        <w:rPr>
          <w:rFonts w:ascii="Arial" w:hAnsi="Arial" w:cs="Arial"/>
          <w:sz w:val="24"/>
          <w:szCs w:val="24"/>
        </w:rPr>
        <w:t xml:space="preserve"> bütün gösterilerin yasaklanması ve </w:t>
      </w:r>
      <w:r w:rsidRPr="003F451C">
        <w:rPr>
          <w:rFonts w:ascii="Arial" w:hAnsi="Arial" w:cs="Arial"/>
          <w:sz w:val="24"/>
          <w:szCs w:val="24"/>
        </w:rPr>
        <w:t>63</w:t>
      </w:r>
      <w:r w:rsidR="005E2B1A" w:rsidRPr="003F451C">
        <w:rPr>
          <w:rFonts w:ascii="Arial" w:hAnsi="Arial" w:cs="Arial"/>
          <w:sz w:val="24"/>
          <w:szCs w:val="24"/>
        </w:rPr>
        <w:t xml:space="preserve"> gösteri </w:t>
      </w:r>
      <w:r w:rsidR="001171D1" w:rsidRPr="003F451C">
        <w:rPr>
          <w:rFonts w:ascii="Arial" w:hAnsi="Arial" w:cs="Arial"/>
          <w:sz w:val="24"/>
          <w:szCs w:val="24"/>
        </w:rPr>
        <w:t>için spesifik</w:t>
      </w:r>
      <w:r w:rsidRPr="003F451C">
        <w:rPr>
          <w:rFonts w:ascii="Arial" w:hAnsi="Arial" w:cs="Arial"/>
          <w:sz w:val="24"/>
          <w:szCs w:val="24"/>
        </w:rPr>
        <w:t xml:space="preserve"> </w:t>
      </w:r>
      <w:r w:rsidR="005E2B1A" w:rsidRPr="003F451C">
        <w:rPr>
          <w:rFonts w:ascii="Arial" w:hAnsi="Arial" w:cs="Arial"/>
          <w:sz w:val="24"/>
          <w:szCs w:val="24"/>
        </w:rPr>
        <w:t xml:space="preserve">yasaklama olmak </w:t>
      </w:r>
      <w:r w:rsidRPr="003F451C">
        <w:rPr>
          <w:rFonts w:ascii="Arial" w:hAnsi="Arial" w:cs="Arial"/>
          <w:sz w:val="24"/>
          <w:szCs w:val="24"/>
        </w:rPr>
        <w:t xml:space="preserve">üzere toplam 127 </w:t>
      </w:r>
      <w:r w:rsidR="005E2B1A" w:rsidRPr="003F451C">
        <w:rPr>
          <w:rFonts w:ascii="Arial" w:hAnsi="Arial" w:cs="Arial"/>
          <w:sz w:val="24"/>
          <w:szCs w:val="24"/>
        </w:rPr>
        <w:t>yasaklama kararı vermiştir. Bu yasaklama kararları herhangi bir mahkeme kararına dayanmamaktadır ve ilgili k</w:t>
      </w:r>
      <w:r w:rsidRPr="003F451C">
        <w:rPr>
          <w:rFonts w:ascii="Arial" w:hAnsi="Arial" w:cs="Arial"/>
          <w:sz w:val="24"/>
          <w:szCs w:val="24"/>
        </w:rPr>
        <w:t>anun</w:t>
      </w:r>
      <w:r w:rsidR="005E2B1A" w:rsidRPr="003F451C">
        <w:rPr>
          <w:rFonts w:ascii="Arial" w:hAnsi="Arial" w:cs="Arial"/>
          <w:sz w:val="24"/>
          <w:szCs w:val="24"/>
        </w:rPr>
        <w:t>larda</w:t>
      </w:r>
      <w:r w:rsidRPr="003F451C">
        <w:rPr>
          <w:rFonts w:ascii="Arial" w:hAnsi="Arial" w:cs="Arial"/>
          <w:sz w:val="24"/>
          <w:szCs w:val="24"/>
        </w:rPr>
        <w:t xml:space="preserve"> bu yasakların keyfi kullanımı</w:t>
      </w:r>
      <w:r w:rsidR="005E2B1A" w:rsidRPr="003F451C">
        <w:rPr>
          <w:rFonts w:ascii="Arial" w:hAnsi="Arial" w:cs="Arial"/>
          <w:sz w:val="24"/>
          <w:szCs w:val="24"/>
        </w:rPr>
        <w:t xml:space="preserve">na </w:t>
      </w:r>
      <w:r w:rsidRPr="003F451C">
        <w:rPr>
          <w:rFonts w:ascii="Arial" w:hAnsi="Arial" w:cs="Arial"/>
          <w:sz w:val="24"/>
          <w:szCs w:val="24"/>
        </w:rPr>
        <w:t xml:space="preserve">ilişkin kısıtlayıcı </w:t>
      </w:r>
      <w:r w:rsidR="005E2B1A" w:rsidRPr="003F451C">
        <w:rPr>
          <w:rFonts w:ascii="Arial" w:hAnsi="Arial" w:cs="Arial"/>
          <w:sz w:val="24"/>
          <w:szCs w:val="24"/>
        </w:rPr>
        <w:t xml:space="preserve">hiçbir </w:t>
      </w:r>
      <w:r w:rsidRPr="003F451C">
        <w:rPr>
          <w:rFonts w:ascii="Arial" w:hAnsi="Arial" w:cs="Arial"/>
          <w:sz w:val="24"/>
          <w:szCs w:val="24"/>
        </w:rPr>
        <w:t>hüküm bulunmama</w:t>
      </w:r>
      <w:r w:rsidR="005E2B1A" w:rsidRPr="003F451C">
        <w:rPr>
          <w:rFonts w:ascii="Arial" w:hAnsi="Arial" w:cs="Arial"/>
          <w:sz w:val="24"/>
          <w:szCs w:val="24"/>
        </w:rPr>
        <w:t>ktadır.</w:t>
      </w:r>
      <w:r w:rsidR="001171D1" w:rsidRPr="003F451C">
        <w:rPr>
          <w:rFonts w:ascii="Arial" w:hAnsi="Arial" w:cs="Arial"/>
          <w:sz w:val="24"/>
          <w:szCs w:val="24"/>
        </w:rPr>
        <w:t xml:space="preserve"> </w:t>
      </w:r>
      <w:r w:rsidRPr="003F451C">
        <w:rPr>
          <w:rFonts w:ascii="Arial" w:hAnsi="Arial" w:cs="Arial"/>
          <w:sz w:val="24"/>
          <w:szCs w:val="24"/>
        </w:rPr>
        <w:t>Örneğin, Gaziantep</w:t>
      </w:r>
      <w:r w:rsidR="005E2B1A" w:rsidRPr="003F451C">
        <w:rPr>
          <w:rFonts w:ascii="Arial" w:hAnsi="Arial" w:cs="Arial"/>
          <w:sz w:val="24"/>
          <w:szCs w:val="24"/>
        </w:rPr>
        <w:t xml:space="preserve"> ilinde </w:t>
      </w:r>
      <w:r w:rsidRPr="003F451C">
        <w:rPr>
          <w:rFonts w:ascii="Arial" w:hAnsi="Arial" w:cs="Arial"/>
          <w:sz w:val="24"/>
          <w:szCs w:val="24"/>
        </w:rPr>
        <w:t xml:space="preserve">Ocak 2017 – Mayıs 2018 arasındaki 17 aylık sürede, </w:t>
      </w:r>
      <w:r w:rsidR="005E2B1A" w:rsidRPr="003F451C">
        <w:rPr>
          <w:rFonts w:ascii="Arial" w:hAnsi="Arial" w:cs="Arial"/>
          <w:sz w:val="24"/>
          <w:szCs w:val="24"/>
        </w:rPr>
        <w:t>gösterilerin yasak olmadığı süre</w:t>
      </w:r>
      <w:r w:rsidR="00C16517" w:rsidRPr="003F451C">
        <w:rPr>
          <w:rFonts w:ascii="Arial" w:hAnsi="Arial" w:cs="Arial"/>
          <w:sz w:val="24"/>
          <w:szCs w:val="24"/>
        </w:rPr>
        <w:t>,</w:t>
      </w:r>
      <w:r w:rsidR="005E2B1A" w:rsidRPr="003F451C">
        <w:rPr>
          <w:rFonts w:ascii="Arial" w:hAnsi="Arial" w:cs="Arial"/>
          <w:sz w:val="24"/>
          <w:szCs w:val="24"/>
        </w:rPr>
        <w:t xml:space="preserve"> </w:t>
      </w:r>
      <w:r w:rsidRPr="003F451C">
        <w:rPr>
          <w:rFonts w:ascii="Arial" w:hAnsi="Arial" w:cs="Arial"/>
          <w:sz w:val="24"/>
          <w:szCs w:val="24"/>
        </w:rPr>
        <w:t xml:space="preserve">sadece </w:t>
      </w:r>
      <w:r w:rsidR="005E2B1A" w:rsidRPr="003F451C">
        <w:rPr>
          <w:rFonts w:ascii="Arial" w:hAnsi="Arial" w:cs="Arial"/>
          <w:sz w:val="24"/>
          <w:szCs w:val="24"/>
        </w:rPr>
        <w:t>45 gündür</w:t>
      </w:r>
      <w:r w:rsidRPr="003F451C">
        <w:rPr>
          <w:rFonts w:ascii="Arial" w:hAnsi="Arial" w:cs="Arial"/>
          <w:sz w:val="24"/>
          <w:szCs w:val="24"/>
        </w:rPr>
        <w:t>.</w:t>
      </w:r>
      <w:r w:rsidRPr="003F451C">
        <w:rPr>
          <w:vertAlign w:val="superscript"/>
        </w:rPr>
        <w:footnoteReference w:id="15"/>
      </w:r>
      <w:r w:rsidRPr="003F451C">
        <w:rPr>
          <w:rFonts w:ascii="Arial" w:hAnsi="Arial" w:cs="Arial"/>
          <w:sz w:val="24"/>
          <w:szCs w:val="24"/>
        </w:rPr>
        <w:t xml:space="preserve"> </w:t>
      </w:r>
    </w:p>
    <w:p w:rsidR="00142442" w:rsidRPr="003F451C" w:rsidRDefault="00142442" w:rsidP="00A02A40">
      <w:pPr>
        <w:pStyle w:val="ListeParagraf"/>
        <w:spacing w:after="0" w:line="276" w:lineRule="auto"/>
        <w:jc w:val="both"/>
        <w:rPr>
          <w:rFonts w:ascii="Arial" w:hAnsi="Arial" w:cs="Arial"/>
          <w:sz w:val="24"/>
          <w:szCs w:val="24"/>
        </w:rPr>
      </w:pPr>
    </w:p>
    <w:p w:rsidR="006845F0" w:rsidRPr="003F451C" w:rsidRDefault="0097509B" w:rsidP="00A02A40">
      <w:pPr>
        <w:pStyle w:val="ListeParagraf"/>
        <w:numPr>
          <w:ilvl w:val="0"/>
          <w:numId w:val="10"/>
        </w:numPr>
        <w:spacing w:after="0" w:line="276" w:lineRule="auto"/>
        <w:jc w:val="both"/>
        <w:rPr>
          <w:rFonts w:ascii="Arial" w:hAnsi="Arial" w:cs="Arial"/>
          <w:sz w:val="24"/>
          <w:szCs w:val="24"/>
        </w:rPr>
      </w:pPr>
      <w:r w:rsidRPr="003F451C">
        <w:rPr>
          <w:rFonts w:ascii="Arial" w:hAnsi="Arial" w:cs="Arial"/>
          <w:sz w:val="24"/>
          <w:szCs w:val="24"/>
        </w:rPr>
        <w:t>Bu yetkilere ek olarak</w:t>
      </w:r>
      <w:r w:rsidR="00C16517" w:rsidRPr="003F451C">
        <w:rPr>
          <w:rFonts w:ascii="Arial" w:hAnsi="Arial" w:cs="Arial"/>
          <w:sz w:val="24"/>
          <w:szCs w:val="24"/>
        </w:rPr>
        <w:t>,</w:t>
      </w:r>
      <w:r w:rsidRPr="003F451C">
        <w:rPr>
          <w:rFonts w:ascii="Arial" w:hAnsi="Arial" w:cs="Arial"/>
          <w:sz w:val="24"/>
          <w:szCs w:val="24"/>
        </w:rPr>
        <w:t xml:space="preserve"> </w:t>
      </w:r>
      <w:r w:rsidR="00C16517" w:rsidRPr="003F451C">
        <w:rPr>
          <w:rFonts w:ascii="Arial" w:hAnsi="Arial" w:cs="Arial"/>
          <w:sz w:val="24"/>
          <w:szCs w:val="24"/>
        </w:rPr>
        <w:t xml:space="preserve">valilikler 2911 </w:t>
      </w:r>
      <w:r w:rsidR="00C71E34">
        <w:rPr>
          <w:rFonts w:ascii="Arial" w:hAnsi="Arial" w:cs="Arial"/>
          <w:sz w:val="24"/>
          <w:szCs w:val="24"/>
        </w:rPr>
        <w:t xml:space="preserve">sayılı </w:t>
      </w:r>
      <w:r w:rsidR="006845F0" w:rsidRPr="003F451C">
        <w:rPr>
          <w:rFonts w:ascii="Arial" w:hAnsi="Arial" w:cs="Arial"/>
          <w:sz w:val="24"/>
          <w:szCs w:val="24"/>
        </w:rPr>
        <w:t xml:space="preserve">kanunda tanımlı bildirim yükümlüğünü fiilen </w:t>
      </w:r>
      <w:r w:rsidRPr="003F451C">
        <w:rPr>
          <w:rFonts w:ascii="Arial" w:hAnsi="Arial" w:cs="Arial"/>
          <w:sz w:val="24"/>
          <w:szCs w:val="24"/>
        </w:rPr>
        <w:t xml:space="preserve">“izin </w:t>
      </w:r>
      <w:r w:rsidR="006845F0" w:rsidRPr="003F451C">
        <w:rPr>
          <w:rFonts w:ascii="Arial" w:hAnsi="Arial" w:cs="Arial"/>
          <w:sz w:val="24"/>
          <w:szCs w:val="24"/>
        </w:rPr>
        <w:t>alma zorunluluğu</w:t>
      </w:r>
      <w:r w:rsidRPr="003F451C">
        <w:rPr>
          <w:rFonts w:ascii="Arial" w:hAnsi="Arial" w:cs="Arial"/>
          <w:sz w:val="24"/>
          <w:szCs w:val="24"/>
        </w:rPr>
        <w:t xml:space="preserve">” olarak kullanmaktadır. </w:t>
      </w:r>
      <w:r w:rsidR="006845F0" w:rsidRPr="003F451C">
        <w:rPr>
          <w:rFonts w:ascii="Arial" w:hAnsi="Arial" w:cs="Arial"/>
          <w:sz w:val="24"/>
          <w:szCs w:val="24"/>
        </w:rPr>
        <w:t xml:space="preserve">Güvenlik güçleri </w:t>
      </w:r>
      <w:r w:rsidR="002756DD" w:rsidRPr="003F451C">
        <w:rPr>
          <w:rFonts w:ascii="Arial" w:hAnsi="Arial" w:cs="Arial"/>
          <w:sz w:val="24"/>
          <w:szCs w:val="24"/>
        </w:rPr>
        <w:t>ise</w:t>
      </w:r>
      <w:r w:rsidR="00CF78FE">
        <w:rPr>
          <w:rFonts w:ascii="Arial" w:hAnsi="Arial" w:cs="Arial"/>
          <w:sz w:val="24"/>
          <w:szCs w:val="24"/>
        </w:rPr>
        <w:t>,</w:t>
      </w:r>
      <w:r w:rsidR="002756DD" w:rsidRPr="003F451C">
        <w:rPr>
          <w:rFonts w:ascii="Arial" w:hAnsi="Arial" w:cs="Arial"/>
          <w:sz w:val="24"/>
          <w:szCs w:val="24"/>
        </w:rPr>
        <w:t xml:space="preserve"> </w:t>
      </w:r>
      <w:r w:rsidR="006845F0" w:rsidRPr="003F451C">
        <w:rPr>
          <w:rFonts w:ascii="Arial" w:hAnsi="Arial" w:cs="Arial"/>
          <w:sz w:val="24"/>
          <w:szCs w:val="24"/>
        </w:rPr>
        <w:t xml:space="preserve">Anayasa ve yasada olmayan “izin alma” koşulunu barışçıl gösterilere müdahale nedeni </w:t>
      </w:r>
      <w:r w:rsidR="001171D1" w:rsidRPr="003F451C">
        <w:rPr>
          <w:rFonts w:ascii="Arial" w:hAnsi="Arial" w:cs="Arial"/>
          <w:sz w:val="24"/>
          <w:szCs w:val="24"/>
        </w:rPr>
        <w:t xml:space="preserve">olarak </w:t>
      </w:r>
      <w:r w:rsidR="006845F0" w:rsidRPr="003F451C">
        <w:rPr>
          <w:rFonts w:ascii="Arial" w:hAnsi="Arial" w:cs="Arial"/>
          <w:sz w:val="24"/>
          <w:szCs w:val="24"/>
        </w:rPr>
        <w:t>kullanmaktadır. Güvenlik güçleri</w:t>
      </w:r>
      <w:r w:rsidR="00DE3F06" w:rsidRPr="003F451C">
        <w:rPr>
          <w:rFonts w:ascii="Arial" w:hAnsi="Arial" w:cs="Arial"/>
          <w:sz w:val="24"/>
          <w:szCs w:val="24"/>
        </w:rPr>
        <w:t>,</w:t>
      </w:r>
      <w:r w:rsidR="006845F0" w:rsidRPr="003F451C">
        <w:rPr>
          <w:rFonts w:ascii="Arial" w:hAnsi="Arial" w:cs="Arial"/>
          <w:sz w:val="24"/>
          <w:szCs w:val="24"/>
        </w:rPr>
        <w:t xml:space="preserve"> toplantı ve gösterilere hemen her durumda orantısız müdahale gerçekleştirmektedir.</w:t>
      </w:r>
      <w:r w:rsidR="00C138A7" w:rsidRPr="003F451C">
        <w:rPr>
          <w:rFonts w:ascii="Arial" w:hAnsi="Arial" w:cs="Arial"/>
          <w:sz w:val="24"/>
          <w:szCs w:val="24"/>
        </w:rPr>
        <w:t xml:space="preserve"> </w:t>
      </w:r>
      <w:r w:rsidR="00A32182" w:rsidRPr="003F451C">
        <w:rPr>
          <w:rFonts w:ascii="Arial" w:hAnsi="Arial" w:cs="Arial"/>
          <w:sz w:val="24"/>
          <w:szCs w:val="24"/>
        </w:rPr>
        <w:t xml:space="preserve">4483 </w:t>
      </w:r>
      <w:r w:rsidR="00C71E34">
        <w:rPr>
          <w:rFonts w:ascii="Arial" w:hAnsi="Arial" w:cs="Arial"/>
          <w:sz w:val="24"/>
          <w:szCs w:val="24"/>
        </w:rPr>
        <w:t xml:space="preserve">sayılı </w:t>
      </w:r>
      <w:r w:rsidR="00333F9C">
        <w:rPr>
          <w:rFonts w:ascii="Arial" w:hAnsi="Arial" w:cs="Arial"/>
          <w:sz w:val="24"/>
          <w:szCs w:val="24"/>
        </w:rPr>
        <w:t>K</w:t>
      </w:r>
      <w:r w:rsidR="00A32182" w:rsidRPr="003F451C">
        <w:rPr>
          <w:rFonts w:ascii="Arial" w:hAnsi="Arial" w:cs="Arial"/>
          <w:sz w:val="24"/>
          <w:szCs w:val="24"/>
        </w:rPr>
        <w:t>anun</w:t>
      </w:r>
      <w:r w:rsidR="00E43AAA">
        <w:rPr>
          <w:rStyle w:val="DipnotBavurusu"/>
          <w:rFonts w:ascii="Arial" w:hAnsi="Arial" w:cs="Arial"/>
          <w:sz w:val="24"/>
          <w:szCs w:val="24"/>
        </w:rPr>
        <w:footnoteReference w:id="16"/>
      </w:r>
      <w:r w:rsidR="00A32182" w:rsidRPr="003F451C">
        <w:rPr>
          <w:rFonts w:ascii="Arial" w:hAnsi="Arial" w:cs="Arial"/>
          <w:sz w:val="24"/>
          <w:szCs w:val="24"/>
        </w:rPr>
        <w:t xml:space="preserve"> gereğince g</w:t>
      </w:r>
      <w:r w:rsidR="00C138A7" w:rsidRPr="003F451C">
        <w:rPr>
          <w:rFonts w:ascii="Arial" w:hAnsi="Arial" w:cs="Arial"/>
          <w:sz w:val="24"/>
          <w:szCs w:val="24"/>
        </w:rPr>
        <w:t>üvenlik gücü mensupları</w:t>
      </w:r>
      <w:r w:rsidR="00A32182" w:rsidRPr="003F451C">
        <w:rPr>
          <w:rFonts w:ascii="Arial" w:hAnsi="Arial" w:cs="Arial"/>
          <w:sz w:val="24"/>
          <w:szCs w:val="24"/>
        </w:rPr>
        <w:t xml:space="preserve"> hakkında</w:t>
      </w:r>
      <w:r w:rsidR="00C138A7" w:rsidRPr="003F451C">
        <w:rPr>
          <w:rFonts w:ascii="Arial" w:hAnsi="Arial" w:cs="Arial"/>
          <w:sz w:val="24"/>
          <w:szCs w:val="24"/>
        </w:rPr>
        <w:t xml:space="preserve"> </w:t>
      </w:r>
      <w:r w:rsidR="00A32182" w:rsidRPr="003F451C">
        <w:rPr>
          <w:rFonts w:ascii="Arial" w:hAnsi="Arial" w:cs="Arial"/>
          <w:sz w:val="24"/>
          <w:szCs w:val="24"/>
        </w:rPr>
        <w:t xml:space="preserve">mesleklerini yaparken işledikleri fiillerle </w:t>
      </w:r>
      <w:r w:rsidR="00DE3F06" w:rsidRPr="003F451C">
        <w:rPr>
          <w:rFonts w:ascii="Arial" w:hAnsi="Arial" w:cs="Arial"/>
          <w:sz w:val="24"/>
          <w:szCs w:val="24"/>
        </w:rPr>
        <w:t>ilgili adli</w:t>
      </w:r>
      <w:r w:rsidR="00A32182" w:rsidRPr="003F451C">
        <w:rPr>
          <w:rFonts w:ascii="Arial" w:hAnsi="Arial" w:cs="Arial"/>
          <w:sz w:val="24"/>
          <w:szCs w:val="24"/>
        </w:rPr>
        <w:t xml:space="preserve"> soruşturma yapılması</w:t>
      </w:r>
      <w:r w:rsidR="00DE3F06" w:rsidRPr="003F451C">
        <w:rPr>
          <w:rFonts w:ascii="Arial" w:hAnsi="Arial" w:cs="Arial"/>
          <w:sz w:val="24"/>
          <w:szCs w:val="24"/>
        </w:rPr>
        <w:t>,</w:t>
      </w:r>
      <w:r w:rsidR="00A32182" w:rsidRPr="003F451C">
        <w:rPr>
          <w:rFonts w:ascii="Arial" w:hAnsi="Arial" w:cs="Arial"/>
          <w:sz w:val="24"/>
          <w:szCs w:val="24"/>
        </w:rPr>
        <w:t xml:space="preserve"> il valisinin iznine tabidir. O</w:t>
      </w:r>
      <w:r w:rsidR="00C138A7" w:rsidRPr="003F451C">
        <w:rPr>
          <w:rFonts w:ascii="Arial" w:hAnsi="Arial" w:cs="Arial"/>
          <w:sz w:val="24"/>
          <w:szCs w:val="24"/>
        </w:rPr>
        <w:t>rantısız güç kullanımı</w:t>
      </w:r>
      <w:r w:rsidR="00903C02" w:rsidRPr="003F451C">
        <w:rPr>
          <w:rFonts w:ascii="Arial" w:hAnsi="Arial" w:cs="Arial"/>
          <w:sz w:val="24"/>
          <w:szCs w:val="24"/>
        </w:rPr>
        <w:t>na ilişkin</w:t>
      </w:r>
      <w:r w:rsidR="00C138A7" w:rsidRPr="003F451C">
        <w:rPr>
          <w:rFonts w:ascii="Arial" w:hAnsi="Arial" w:cs="Arial"/>
          <w:sz w:val="24"/>
          <w:szCs w:val="24"/>
        </w:rPr>
        <w:t xml:space="preserve"> </w:t>
      </w:r>
      <w:r w:rsidR="00A32182" w:rsidRPr="003F451C">
        <w:rPr>
          <w:rFonts w:ascii="Arial" w:hAnsi="Arial" w:cs="Arial"/>
          <w:sz w:val="24"/>
          <w:szCs w:val="24"/>
        </w:rPr>
        <w:t xml:space="preserve">iddialar konusunda </w:t>
      </w:r>
      <w:r w:rsidR="00C138A7" w:rsidRPr="003F451C">
        <w:rPr>
          <w:rFonts w:ascii="Arial" w:hAnsi="Arial" w:cs="Arial"/>
          <w:sz w:val="24"/>
          <w:szCs w:val="24"/>
        </w:rPr>
        <w:t>valilikler</w:t>
      </w:r>
      <w:r w:rsidR="000802CD" w:rsidRPr="003F451C">
        <w:rPr>
          <w:rFonts w:ascii="Arial" w:hAnsi="Arial" w:cs="Arial"/>
          <w:sz w:val="24"/>
          <w:szCs w:val="24"/>
        </w:rPr>
        <w:t>,</w:t>
      </w:r>
      <w:r w:rsidR="00C138A7" w:rsidRPr="003F451C">
        <w:rPr>
          <w:rFonts w:ascii="Arial" w:hAnsi="Arial" w:cs="Arial"/>
          <w:sz w:val="24"/>
          <w:szCs w:val="24"/>
        </w:rPr>
        <w:t xml:space="preserve"> güvenlik gücü mensupları için adli makamlara soruşturma </w:t>
      </w:r>
      <w:r w:rsidR="00A32182" w:rsidRPr="003F451C">
        <w:rPr>
          <w:rFonts w:ascii="Arial" w:hAnsi="Arial" w:cs="Arial"/>
          <w:sz w:val="24"/>
          <w:szCs w:val="24"/>
        </w:rPr>
        <w:t>izni vermemekte ve hemen her durumda orantısız güç kullanımı cezasız</w:t>
      </w:r>
      <w:r w:rsidR="00A02A40">
        <w:rPr>
          <w:rFonts w:ascii="Arial" w:hAnsi="Arial" w:cs="Arial"/>
          <w:sz w:val="24"/>
          <w:szCs w:val="24"/>
        </w:rPr>
        <w:t>lıkla sonuçlanmaktadır.</w:t>
      </w:r>
    </w:p>
    <w:p w:rsidR="00E5363D" w:rsidRPr="003F451C" w:rsidRDefault="00E5363D" w:rsidP="00A02A40">
      <w:pPr>
        <w:spacing w:after="0" w:line="276" w:lineRule="auto"/>
        <w:jc w:val="both"/>
        <w:rPr>
          <w:rFonts w:ascii="Arial" w:hAnsi="Arial" w:cs="Arial"/>
          <w:sz w:val="24"/>
          <w:szCs w:val="24"/>
        </w:rPr>
      </w:pPr>
    </w:p>
    <w:p w:rsidR="006845F0" w:rsidRPr="003F451C" w:rsidRDefault="00E5363D" w:rsidP="00A02A40">
      <w:pPr>
        <w:spacing w:after="0" w:line="276" w:lineRule="auto"/>
        <w:jc w:val="both"/>
        <w:rPr>
          <w:rFonts w:ascii="Arial" w:hAnsi="Arial" w:cs="Arial"/>
          <w:b/>
          <w:sz w:val="24"/>
          <w:szCs w:val="24"/>
        </w:rPr>
      </w:pPr>
      <w:r w:rsidRPr="003F451C">
        <w:rPr>
          <w:rFonts w:ascii="Arial" w:hAnsi="Arial" w:cs="Arial"/>
          <w:b/>
          <w:sz w:val="24"/>
          <w:szCs w:val="24"/>
        </w:rPr>
        <w:t>Tavsiyelerimiz;</w:t>
      </w:r>
    </w:p>
    <w:p w:rsidR="005164A4" w:rsidRPr="003F451C" w:rsidRDefault="005164A4" w:rsidP="00A02A40">
      <w:pPr>
        <w:spacing w:after="0" w:line="276" w:lineRule="auto"/>
        <w:jc w:val="both"/>
        <w:rPr>
          <w:rFonts w:ascii="Arial" w:hAnsi="Arial" w:cs="Arial"/>
          <w:sz w:val="24"/>
          <w:szCs w:val="24"/>
        </w:rPr>
      </w:pPr>
    </w:p>
    <w:p w:rsidR="003473C6" w:rsidRPr="003F451C" w:rsidRDefault="001820AF" w:rsidP="00A02A40">
      <w:pPr>
        <w:pStyle w:val="ListeParagraf"/>
        <w:numPr>
          <w:ilvl w:val="0"/>
          <w:numId w:val="10"/>
        </w:numPr>
        <w:spacing w:after="0" w:line="276" w:lineRule="auto"/>
        <w:jc w:val="both"/>
        <w:rPr>
          <w:rFonts w:ascii="Arial" w:hAnsi="Arial" w:cs="Arial"/>
          <w:sz w:val="24"/>
          <w:szCs w:val="24"/>
        </w:rPr>
      </w:pPr>
      <w:r w:rsidRPr="003F451C">
        <w:rPr>
          <w:rFonts w:ascii="Arial" w:hAnsi="Arial" w:cs="Arial"/>
          <w:sz w:val="24"/>
          <w:szCs w:val="24"/>
        </w:rPr>
        <w:t>Valiliklerin toplantı ve gösterileri il genelinde yasaklama yetkisi kanunlardan çıkarılmalıdır, bu yetki ancak olağanüstü hallerde</w:t>
      </w:r>
      <w:r w:rsidR="00AD581B" w:rsidRPr="003F451C">
        <w:rPr>
          <w:rFonts w:ascii="Arial" w:hAnsi="Arial" w:cs="Arial"/>
          <w:sz w:val="24"/>
          <w:szCs w:val="24"/>
        </w:rPr>
        <w:t xml:space="preserve"> ve yetkili </w:t>
      </w:r>
      <w:r w:rsidRPr="003F451C">
        <w:rPr>
          <w:rFonts w:ascii="Arial" w:hAnsi="Arial" w:cs="Arial"/>
          <w:sz w:val="24"/>
          <w:szCs w:val="24"/>
        </w:rPr>
        <w:t>mahkeme kararına dayanması şartı ile yeniden düzenlenmeli</w:t>
      </w:r>
      <w:r w:rsidR="000A39B4">
        <w:rPr>
          <w:rFonts w:ascii="Arial" w:hAnsi="Arial" w:cs="Arial"/>
          <w:sz w:val="24"/>
          <w:szCs w:val="24"/>
        </w:rPr>
        <w:t>dir,</w:t>
      </w:r>
      <w:r w:rsidRPr="003F451C">
        <w:rPr>
          <w:rFonts w:ascii="Arial" w:hAnsi="Arial" w:cs="Arial"/>
          <w:sz w:val="24"/>
          <w:szCs w:val="24"/>
        </w:rPr>
        <w:t xml:space="preserve"> </w:t>
      </w:r>
    </w:p>
    <w:p w:rsidR="003473C6" w:rsidRPr="003F451C" w:rsidRDefault="003473C6" w:rsidP="00A02A40">
      <w:pPr>
        <w:spacing w:after="0" w:line="276" w:lineRule="auto"/>
        <w:jc w:val="both"/>
        <w:rPr>
          <w:rFonts w:ascii="Arial" w:hAnsi="Arial" w:cs="Arial"/>
          <w:sz w:val="24"/>
          <w:szCs w:val="24"/>
        </w:rPr>
      </w:pPr>
    </w:p>
    <w:p w:rsidR="006845F0" w:rsidRPr="003F451C" w:rsidRDefault="006845F0" w:rsidP="00A02A40">
      <w:pPr>
        <w:pStyle w:val="ListeParagraf"/>
        <w:numPr>
          <w:ilvl w:val="0"/>
          <w:numId w:val="10"/>
        </w:numPr>
        <w:spacing w:after="0" w:line="276" w:lineRule="auto"/>
        <w:jc w:val="both"/>
        <w:rPr>
          <w:rFonts w:ascii="Arial" w:hAnsi="Arial" w:cs="Arial"/>
          <w:sz w:val="24"/>
          <w:szCs w:val="24"/>
        </w:rPr>
      </w:pPr>
      <w:r w:rsidRPr="003F451C">
        <w:rPr>
          <w:rFonts w:ascii="Arial" w:hAnsi="Arial" w:cs="Arial"/>
          <w:sz w:val="24"/>
          <w:szCs w:val="24"/>
        </w:rPr>
        <w:t xml:space="preserve">İlgili kanunlarda kamu idaresine, toplantı ve gösteri hakkı ilgili tanınan </w:t>
      </w:r>
      <w:r w:rsidR="00E5363D" w:rsidRPr="003F451C">
        <w:rPr>
          <w:rFonts w:ascii="Arial" w:hAnsi="Arial" w:cs="Arial"/>
          <w:sz w:val="24"/>
          <w:szCs w:val="24"/>
        </w:rPr>
        <w:t xml:space="preserve">tüm </w:t>
      </w:r>
      <w:r w:rsidRPr="003F451C">
        <w:rPr>
          <w:rFonts w:ascii="Arial" w:hAnsi="Arial" w:cs="Arial"/>
          <w:sz w:val="24"/>
          <w:szCs w:val="24"/>
        </w:rPr>
        <w:t>yetkilerin keyfi kullanımını engelleyici düzenlemeler yapıl</w:t>
      </w:r>
      <w:r w:rsidR="000A39B4">
        <w:rPr>
          <w:rFonts w:ascii="Arial" w:hAnsi="Arial" w:cs="Arial"/>
          <w:sz w:val="24"/>
          <w:szCs w:val="24"/>
        </w:rPr>
        <w:t>malıdır</w:t>
      </w:r>
      <w:r w:rsidR="00C138A7" w:rsidRPr="003F451C">
        <w:rPr>
          <w:rFonts w:ascii="Arial" w:hAnsi="Arial" w:cs="Arial"/>
          <w:sz w:val="24"/>
          <w:szCs w:val="24"/>
        </w:rPr>
        <w:t>,</w:t>
      </w:r>
    </w:p>
    <w:p w:rsidR="003473C6" w:rsidRPr="003F451C" w:rsidRDefault="003473C6" w:rsidP="00A02A40">
      <w:pPr>
        <w:pStyle w:val="ListeParagraf"/>
        <w:spacing w:line="276" w:lineRule="auto"/>
        <w:jc w:val="both"/>
        <w:rPr>
          <w:rFonts w:ascii="Arial" w:hAnsi="Arial" w:cs="Arial"/>
          <w:sz w:val="24"/>
          <w:szCs w:val="24"/>
        </w:rPr>
      </w:pPr>
    </w:p>
    <w:p w:rsidR="003473C6" w:rsidRPr="003F451C" w:rsidRDefault="00C138A7" w:rsidP="00A02A40">
      <w:pPr>
        <w:numPr>
          <w:ilvl w:val="0"/>
          <w:numId w:val="10"/>
        </w:numPr>
        <w:spacing w:after="0" w:line="276" w:lineRule="auto"/>
        <w:jc w:val="both"/>
        <w:rPr>
          <w:rFonts w:ascii="Arial" w:hAnsi="Arial" w:cs="Arial"/>
          <w:sz w:val="24"/>
          <w:szCs w:val="24"/>
        </w:rPr>
      </w:pPr>
      <w:r w:rsidRPr="003F451C">
        <w:rPr>
          <w:rFonts w:ascii="Arial" w:hAnsi="Arial" w:cs="Arial"/>
          <w:sz w:val="24"/>
          <w:szCs w:val="24"/>
        </w:rPr>
        <w:t xml:space="preserve">2911 sayılı </w:t>
      </w:r>
      <w:r w:rsidR="00A653C8">
        <w:rPr>
          <w:rFonts w:ascii="Arial" w:hAnsi="Arial" w:cs="Arial"/>
          <w:sz w:val="24"/>
          <w:szCs w:val="24"/>
        </w:rPr>
        <w:t>K</w:t>
      </w:r>
      <w:r w:rsidRPr="003F451C">
        <w:rPr>
          <w:rFonts w:ascii="Arial" w:hAnsi="Arial" w:cs="Arial"/>
          <w:sz w:val="24"/>
          <w:szCs w:val="24"/>
        </w:rPr>
        <w:t>anun</w:t>
      </w:r>
      <w:r w:rsidR="00A653C8">
        <w:rPr>
          <w:rFonts w:ascii="Arial" w:hAnsi="Arial" w:cs="Arial"/>
          <w:sz w:val="24"/>
          <w:szCs w:val="24"/>
        </w:rPr>
        <w:t>’</w:t>
      </w:r>
      <w:r w:rsidRPr="003F451C">
        <w:rPr>
          <w:rFonts w:ascii="Arial" w:hAnsi="Arial" w:cs="Arial"/>
          <w:sz w:val="24"/>
          <w:szCs w:val="24"/>
        </w:rPr>
        <w:t xml:space="preserve">daki bildirim yükümlülüğünün </w:t>
      </w:r>
      <w:r w:rsidR="00DE3F06" w:rsidRPr="003F451C">
        <w:rPr>
          <w:rFonts w:ascii="Arial" w:hAnsi="Arial" w:cs="Arial"/>
          <w:sz w:val="24"/>
          <w:szCs w:val="24"/>
        </w:rPr>
        <w:t>amacı, toplantı</w:t>
      </w:r>
      <w:r w:rsidRPr="003F451C">
        <w:rPr>
          <w:rFonts w:ascii="Arial" w:hAnsi="Arial" w:cs="Arial"/>
          <w:sz w:val="24"/>
          <w:szCs w:val="24"/>
        </w:rPr>
        <w:t xml:space="preserve"> ve gösteriler ile katılımcılarının korunması için gerekli önl</w:t>
      </w:r>
      <w:r w:rsidR="005C6116" w:rsidRPr="003F451C">
        <w:rPr>
          <w:rFonts w:ascii="Arial" w:hAnsi="Arial" w:cs="Arial"/>
          <w:sz w:val="24"/>
          <w:szCs w:val="24"/>
        </w:rPr>
        <w:t xml:space="preserve">emlerin alınmasını sağlamaktır. İlgili kanunun, </w:t>
      </w:r>
      <w:r w:rsidRPr="003F451C">
        <w:rPr>
          <w:rFonts w:ascii="Arial" w:hAnsi="Arial" w:cs="Arial"/>
          <w:sz w:val="24"/>
          <w:szCs w:val="24"/>
        </w:rPr>
        <w:t>kamu idaresinin bildirim yükümlülüğünü “</w:t>
      </w:r>
      <w:r w:rsidRPr="000A39B4">
        <w:rPr>
          <w:rFonts w:ascii="Arial" w:hAnsi="Arial" w:cs="Arial"/>
          <w:i/>
          <w:iCs/>
          <w:sz w:val="24"/>
          <w:szCs w:val="24"/>
        </w:rPr>
        <w:t>izin alma zorunluluğu</w:t>
      </w:r>
      <w:r w:rsidRPr="003F451C">
        <w:rPr>
          <w:rFonts w:ascii="Arial" w:hAnsi="Arial" w:cs="Arial"/>
          <w:sz w:val="24"/>
          <w:szCs w:val="24"/>
        </w:rPr>
        <w:t>”na çeviren keyfi uygulamaları</w:t>
      </w:r>
      <w:r w:rsidR="005C6116" w:rsidRPr="003F451C">
        <w:rPr>
          <w:rFonts w:ascii="Arial" w:hAnsi="Arial" w:cs="Arial"/>
          <w:sz w:val="24"/>
          <w:szCs w:val="24"/>
        </w:rPr>
        <w:t>nı</w:t>
      </w:r>
      <w:r w:rsidRPr="003F451C">
        <w:rPr>
          <w:rFonts w:ascii="Arial" w:hAnsi="Arial" w:cs="Arial"/>
          <w:sz w:val="24"/>
          <w:szCs w:val="24"/>
        </w:rPr>
        <w:t xml:space="preserve"> engelleyecek şekilde yeniden düzenlen</w:t>
      </w:r>
      <w:r w:rsidR="000A39B4">
        <w:rPr>
          <w:rFonts w:ascii="Arial" w:hAnsi="Arial" w:cs="Arial"/>
          <w:sz w:val="24"/>
          <w:szCs w:val="24"/>
        </w:rPr>
        <w:t>melidir</w:t>
      </w:r>
      <w:r w:rsidRPr="003F451C">
        <w:rPr>
          <w:rFonts w:ascii="Arial" w:hAnsi="Arial" w:cs="Arial"/>
          <w:sz w:val="24"/>
          <w:szCs w:val="24"/>
        </w:rPr>
        <w:t>,</w:t>
      </w:r>
    </w:p>
    <w:p w:rsidR="003473C6" w:rsidRPr="003F451C" w:rsidRDefault="003473C6" w:rsidP="00A02A40">
      <w:pPr>
        <w:pStyle w:val="ListeParagraf"/>
        <w:spacing w:line="276" w:lineRule="auto"/>
        <w:jc w:val="both"/>
        <w:rPr>
          <w:rFonts w:ascii="Arial" w:hAnsi="Arial" w:cs="Arial"/>
          <w:sz w:val="24"/>
          <w:szCs w:val="24"/>
        </w:rPr>
      </w:pPr>
    </w:p>
    <w:p w:rsidR="003473C6" w:rsidRPr="003F451C" w:rsidRDefault="006E2F2D" w:rsidP="00A02A40">
      <w:pPr>
        <w:numPr>
          <w:ilvl w:val="0"/>
          <w:numId w:val="10"/>
        </w:numPr>
        <w:spacing w:after="0" w:line="276" w:lineRule="auto"/>
        <w:jc w:val="both"/>
        <w:rPr>
          <w:rFonts w:ascii="Arial" w:hAnsi="Arial" w:cs="Arial"/>
          <w:sz w:val="24"/>
          <w:szCs w:val="24"/>
        </w:rPr>
      </w:pPr>
      <w:r w:rsidRPr="003F451C">
        <w:rPr>
          <w:rFonts w:ascii="Arial" w:hAnsi="Arial" w:cs="Arial"/>
          <w:sz w:val="24"/>
          <w:szCs w:val="24"/>
        </w:rPr>
        <w:t xml:space="preserve">Kamu görevlilerine soruşturma açılmasına ilişkin 4483 </w:t>
      </w:r>
      <w:r w:rsidR="00B2451D" w:rsidRPr="00B2451D">
        <w:rPr>
          <w:rFonts w:ascii="Arial" w:hAnsi="Arial" w:cs="Arial"/>
          <w:sz w:val="24"/>
          <w:szCs w:val="24"/>
        </w:rPr>
        <w:t xml:space="preserve">sayılı </w:t>
      </w:r>
      <w:r w:rsidR="00B53975">
        <w:rPr>
          <w:rFonts w:ascii="Arial" w:hAnsi="Arial" w:cs="Arial"/>
          <w:sz w:val="24"/>
          <w:szCs w:val="24"/>
        </w:rPr>
        <w:t>K</w:t>
      </w:r>
      <w:r w:rsidRPr="003F451C">
        <w:rPr>
          <w:rFonts w:ascii="Arial" w:hAnsi="Arial" w:cs="Arial"/>
          <w:sz w:val="24"/>
          <w:szCs w:val="24"/>
        </w:rPr>
        <w:t>anun</w:t>
      </w:r>
      <w:r w:rsidR="00B53975">
        <w:rPr>
          <w:rFonts w:ascii="Arial" w:hAnsi="Arial" w:cs="Arial"/>
          <w:sz w:val="24"/>
          <w:szCs w:val="24"/>
        </w:rPr>
        <w:t>’</w:t>
      </w:r>
      <w:r w:rsidRPr="003F451C">
        <w:rPr>
          <w:rFonts w:ascii="Arial" w:hAnsi="Arial" w:cs="Arial"/>
          <w:sz w:val="24"/>
          <w:szCs w:val="24"/>
        </w:rPr>
        <w:t xml:space="preserve">da cezasızlığa zemin hazırlayan hükümlerin değiştirilmesi, kolluk kuvvetleri de </w:t>
      </w:r>
      <w:r w:rsidR="003D3A90" w:rsidRPr="003F451C">
        <w:rPr>
          <w:rFonts w:ascii="Arial" w:hAnsi="Arial" w:cs="Arial"/>
          <w:sz w:val="24"/>
          <w:szCs w:val="24"/>
        </w:rPr>
        <w:t>dâhil</w:t>
      </w:r>
      <w:r w:rsidRPr="003F451C">
        <w:rPr>
          <w:rFonts w:ascii="Arial" w:hAnsi="Arial" w:cs="Arial"/>
          <w:sz w:val="24"/>
          <w:szCs w:val="24"/>
        </w:rPr>
        <w:t xml:space="preserve"> olmak üzere, kamu görevlilerine</w:t>
      </w:r>
      <w:r w:rsidR="00AD581B" w:rsidRPr="003F451C">
        <w:rPr>
          <w:rFonts w:ascii="Arial" w:hAnsi="Arial" w:cs="Arial"/>
          <w:sz w:val="24"/>
          <w:szCs w:val="24"/>
        </w:rPr>
        <w:t xml:space="preserve"> </w:t>
      </w:r>
      <w:r w:rsidRPr="003F451C">
        <w:rPr>
          <w:rFonts w:ascii="Arial" w:hAnsi="Arial" w:cs="Arial"/>
          <w:sz w:val="24"/>
          <w:szCs w:val="24"/>
        </w:rPr>
        <w:t>yönelik insan hakları ihlal</w:t>
      </w:r>
      <w:r w:rsidR="00107BBC">
        <w:rPr>
          <w:rFonts w:ascii="Arial" w:hAnsi="Arial" w:cs="Arial"/>
          <w:sz w:val="24"/>
          <w:szCs w:val="24"/>
        </w:rPr>
        <w:t>leri</w:t>
      </w:r>
      <w:r w:rsidRPr="003F451C">
        <w:rPr>
          <w:rFonts w:ascii="Arial" w:hAnsi="Arial" w:cs="Arial"/>
          <w:sz w:val="24"/>
          <w:szCs w:val="24"/>
        </w:rPr>
        <w:t xml:space="preserve"> iddiaların</w:t>
      </w:r>
      <w:r w:rsidR="00395C62" w:rsidRPr="003F451C">
        <w:rPr>
          <w:rFonts w:ascii="Arial" w:hAnsi="Arial" w:cs="Arial"/>
          <w:sz w:val="24"/>
          <w:szCs w:val="24"/>
        </w:rPr>
        <w:t>ın</w:t>
      </w:r>
      <w:r w:rsidRPr="003F451C">
        <w:rPr>
          <w:rFonts w:ascii="Arial" w:hAnsi="Arial" w:cs="Arial"/>
          <w:sz w:val="24"/>
          <w:szCs w:val="24"/>
        </w:rPr>
        <w:t xml:space="preserve"> etkili bir biçimde soruşturulması </w:t>
      </w:r>
      <w:r w:rsidR="00AD581B" w:rsidRPr="003F451C">
        <w:rPr>
          <w:rFonts w:ascii="Arial" w:hAnsi="Arial" w:cs="Arial"/>
          <w:sz w:val="24"/>
          <w:szCs w:val="24"/>
        </w:rPr>
        <w:t xml:space="preserve">için izin şartı </w:t>
      </w:r>
      <w:r w:rsidR="00C32369">
        <w:rPr>
          <w:rFonts w:ascii="Arial" w:hAnsi="Arial" w:cs="Arial"/>
          <w:sz w:val="24"/>
          <w:szCs w:val="24"/>
        </w:rPr>
        <w:t>kaldırılmalıdır</w:t>
      </w:r>
      <w:r w:rsidRPr="003F451C">
        <w:rPr>
          <w:rFonts w:ascii="Arial" w:hAnsi="Arial" w:cs="Arial"/>
          <w:sz w:val="24"/>
          <w:szCs w:val="24"/>
        </w:rPr>
        <w:t>,</w:t>
      </w:r>
    </w:p>
    <w:p w:rsidR="003473C6" w:rsidRPr="003F451C" w:rsidRDefault="003473C6" w:rsidP="00A02A40">
      <w:pPr>
        <w:pStyle w:val="ListeParagraf"/>
        <w:spacing w:line="276" w:lineRule="auto"/>
        <w:jc w:val="both"/>
        <w:rPr>
          <w:rFonts w:ascii="Arial" w:hAnsi="Arial" w:cs="Arial"/>
          <w:sz w:val="24"/>
          <w:szCs w:val="24"/>
        </w:rPr>
      </w:pPr>
    </w:p>
    <w:p w:rsidR="003473C6" w:rsidRPr="003F451C" w:rsidRDefault="00A32182" w:rsidP="00A02A40">
      <w:pPr>
        <w:numPr>
          <w:ilvl w:val="0"/>
          <w:numId w:val="10"/>
        </w:numPr>
        <w:spacing w:after="0" w:line="276" w:lineRule="auto"/>
        <w:jc w:val="both"/>
        <w:rPr>
          <w:rFonts w:ascii="Arial" w:hAnsi="Arial" w:cs="Arial"/>
          <w:sz w:val="24"/>
          <w:szCs w:val="24"/>
        </w:rPr>
      </w:pPr>
      <w:r w:rsidRPr="003F451C">
        <w:rPr>
          <w:rFonts w:ascii="Arial" w:hAnsi="Arial" w:cs="Arial"/>
          <w:sz w:val="24"/>
          <w:szCs w:val="24"/>
        </w:rPr>
        <w:t>2016 yılında</w:t>
      </w:r>
      <w:r w:rsidR="00B0082C" w:rsidRPr="003F451C">
        <w:rPr>
          <w:rFonts w:ascii="Arial" w:hAnsi="Arial" w:cs="Arial"/>
          <w:sz w:val="24"/>
          <w:szCs w:val="24"/>
        </w:rPr>
        <w:t>,</w:t>
      </w:r>
      <w:r w:rsidRPr="003F451C">
        <w:rPr>
          <w:rFonts w:ascii="Arial" w:hAnsi="Arial" w:cs="Arial"/>
          <w:sz w:val="24"/>
          <w:szCs w:val="24"/>
        </w:rPr>
        <w:t xml:space="preserve"> yasa ile kurulan “Kolluk Gözetim Komisyonu”, </w:t>
      </w:r>
      <w:r w:rsidR="00AD581B" w:rsidRPr="003F451C">
        <w:rPr>
          <w:rFonts w:ascii="Arial" w:hAnsi="Arial" w:cs="Arial"/>
          <w:sz w:val="24"/>
          <w:szCs w:val="24"/>
        </w:rPr>
        <w:t xml:space="preserve">yürütmeden </w:t>
      </w:r>
      <w:r w:rsidRPr="003F451C">
        <w:rPr>
          <w:rFonts w:ascii="Arial" w:hAnsi="Arial" w:cs="Arial"/>
          <w:sz w:val="24"/>
          <w:szCs w:val="24"/>
        </w:rPr>
        <w:t xml:space="preserve">bağımsız </w:t>
      </w:r>
      <w:r w:rsidR="007C4270" w:rsidRPr="003F451C">
        <w:rPr>
          <w:rFonts w:ascii="Arial" w:hAnsi="Arial" w:cs="Arial"/>
          <w:sz w:val="24"/>
          <w:szCs w:val="24"/>
        </w:rPr>
        <w:t xml:space="preserve">ve </w:t>
      </w:r>
      <w:r w:rsidRPr="003F451C">
        <w:rPr>
          <w:rFonts w:ascii="Arial" w:hAnsi="Arial" w:cs="Arial"/>
          <w:sz w:val="24"/>
          <w:szCs w:val="24"/>
        </w:rPr>
        <w:t xml:space="preserve">kendi başına soruşturma başlatma yetkisine dahi sahip değildir. </w:t>
      </w:r>
      <w:r w:rsidR="00B0082C" w:rsidRPr="003F451C">
        <w:rPr>
          <w:rFonts w:ascii="Arial" w:hAnsi="Arial" w:cs="Arial"/>
          <w:sz w:val="24"/>
          <w:szCs w:val="24"/>
        </w:rPr>
        <w:t>Bu komisyonun</w:t>
      </w:r>
      <w:r w:rsidR="006E2F2D" w:rsidRPr="003F451C">
        <w:rPr>
          <w:rFonts w:ascii="Arial" w:hAnsi="Arial" w:cs="Arial"/>
          <w:sz w:val="24"/>
          <w:szCs w:val="24"/>
        </w:rPr>
        <w:t xml:space="preserve"> uluslararası standartlara uygun bir mekanizma olarak yeniden düzenlenme</w:t>
      </w:r>
      <w:r w:rsidR="00802DF8">
        <w:rPr>
          <w:rFonts w:ascii="Arial" w:hAnsi="Arial" w:cs="Arial"/>
          <w:sz w:val="24"/>
          <w:szCs w:val="24"/>
        </w:rPr>
        <w:t>li</w:t>
      </w:r>
      <w:r w:rsidR="006E2F2D" w:rsidRPr="003F451C">
        <w:rPr>
          <w:rFonts w:ascii="Arial" w:hAnsi="Arial" w:cs="Arial"/>
          <w:sz w:val="24"/>
          <w:szCs w:val="24"/>
        </w:rPr>
        <w:t xml:space="preserve"> ve işletilm</w:t>
      </w:r>
      <w:r w:rsidR="00802DF8">
        <w:rPr>
          <w:rFonts w:ascii="Arial" w:hAnsi="Arial" w:cs="Arial"/>
          <w:sz w:val="24"/>
          <w:szCs w:val="24"/>
        </w:rPr>
        <w:t>elidir</w:t>
      </w:r>
      <w:r w:rsidR="006E2F2D" w:rsidRPr="003F451C">
        <w:rPr>
          <w:rFonts w:ascii="Arial" w:hAnsi="Arial" w:cs="Arial"/>
          <w:sz w:val="24"/>
          <w:szCs w:val="24"/>
        </w:rPr>
        <w:t>,</w:t>
      </w:r>
    </w:p>
    <w:p w:rsidR="003473C6" w:rsidRPr="003F451C" w:rsidRDefault="003473C6" w:rsidP="00A02A40">
      <w:pPr>
        <w:pStyle w:val="ListeParagraf"/>
        <w:spacing w:line="276" w:lineRule="auto"/>
        <w:jc w:val="both"/>
        <w:rPr>
          <w:rFonts w:ascii="Arial" w:hAnsi="Arial" w:cs="Arial"/>
          <w:sz w:val="24"/>
          <w:szCs w:val="24"/>
        </w:rPr>
      </w:pPr>
    </w:p>
    <w:p w:rsidR="003473C6" w:rsidRPr="003F451C" w:rsidRDefault="006E2F2D" w:rsidP="00A02A40">
      <w:pPr>
        <w:numPr>
          <w:ilvl w:val="0"/>
          <w:numId w:val="10"/>
        </w:numPr>
        <w:spacing w:after="0" w:line="276" w:lineRule="auto"/>
        <w:jc w:val="both"/>
        <w:rPr>
          <w:rFonts w:ascii="Arial" w:hAnsi="Arial" w:cs="Arial"/>
          <w:sz w:val="24"/>
          <w:szCs w:val="24"/>
        </w:rPr>
      </w:pPr>
      <w:r w:rsidRPr="003F451C">
        <w:rPr>
          <w:rFonts w:ascii="Arial" w:hAnsi="Arial" w:cs="Arial"/>
          <w:sz w:val="24"/>
          <w:szCs w:val="24"/>
        </w:rPr>
        <w:t>5326</w:t>
      </w:r>
      <w:r w:rsidR="007C4270" w:rsidRPr="003F451C">
        <w:rPr>
          <w:rFonts w:ascii="Arial" w:hAnsi="Arial" w:cs="Arial"/>
          <w:sz w:val="24"/>
          <w:szCs w:val="24"/>
          <w:vertAlign w:val="superscript"/>
        </w:rPr>
        <w:footnoteReference w:id="17"/>
      </w:r>
      <w:r w:rsidRPr="003F451C">
        <w:rPr>
          <w:rFonts w:ascii="Arial" w:hAnsi="Arial" w:cs="Arial"/>
          <w:sz w:val="24"/>
          <w:szCs w:val="24"/>
        </w:rPr>
        <w:t xml:space="preserve"> sayılı </w:t>
      </w:r>
      <w:r w:rsidR="0026250A">
        <w:rPr>
          <w:rFonts w:ascii="Arial" w:hAnsi="Arial" w:cs="Arial"/>
          <w:sz w:val="24"/>
          <w:szCs w:val="24"/>
        </w:rPr>
        <w:t>K</w:t>
      </w:r>
      <w:r w:rsidRPr="003F451C">
        <w:rPr>
          <w:rFonts w:ascii="Arial" w:hAnsi="Arial" w:cs="Arial"/>
          <w:sz w:val="24"/>
          <w:szCs w:val="24"/>
        </w:rPr>
        <w:t>anun</w:t>
      </w:r>
      <w:r w:rsidR="0026250A">
        <w:rPr>
          <w:rFonts w:ascii="Arial" w:hAnsi="Arial" w:cs="Arial"/>
          <w:sz w:val="24"/>
          <w:szCs w:val="24"/>
        </w:rPr>
        <w:t>’</w:t>
      </w:r>
      <w:r w:rsidR="0056204C" w:rsidRPr="003F451C">
        <w:rPr>
          <w:rFonts w:ascii="Arial" w:hAnsi="Arial" w:cs="Arial"/>
          <w:sz w:val="24"/>
          <w:szCs w:val="24"/>
        </w:rPr>
        <w:t xml:space="preserve">da </w:t>
      </w:r>
      <w:r w:rsidRPr="003F451C">
        <w:rPr>
          <w:rFonts w:ascii="Arial" w:hAnsi="Arial" w:cs="Arial"/>
          <w:sz w:val="24"/>
          <w:szCs w:val="24"/>
        </w:rPr>
        <w:t xml:space="preserve">toplantı ve gösteriler </w:t>
      </w:r>
      <w:r w:rsidR="00DE3F06" w:rsidRPr="003F451C">
        <w:rPr>
          <w:rFonts w:ascii="Arial" w:hAnsi="Arial" w:cs="Arial"/>
          <w:sz w:val="24"/>
          <w:szCs w:val="24"/>
        </w:rPr>
        <w:t>ile ilgili</w:t>
      </w:r>
      <w:r w:rsidR="0056204C" w:rsidRPr="003F451C">
        <w:rPr>
          <w:rFonts w:ascii="Arial" w:hAnsi="Arial" w:cs="Arial"/>
          <w:sz w:val="24"/>
          <w:szCs w:val="24"/>
        </w:rPr>
        <w:t xml:space="preserve"> herhangi bir </w:t>
      </w:r>
      <w:r w:rsidR="00FA7100">
        <w:rPr>
          <w:rFonts w:ascii="Arial" w:hAnsi="Arial" w:cs="Arial"/>
          <w:sz w:val="24"/>
          <w:szCs w:val="24"/>
        </w:rPr>
        <w:t xml:space="preserve">açık </w:t>
      </w:r>
      <w:r w:rsidR="0056204C" w:rsidRPr="003F451C">
        <w:rPr>
          <w:rFonts w:ascii="Arial" w:hAnsi="Arial" w:cs="Arial"/>
          <w:sz w:val="24"/>
          <w:szCs w:val="24"/>
        </w:rPr>
        <w:t>hüküm olmamasına rağmen</w:t>
      </w:r>
      <w:r w:rsidR="00DE3F06" w:rsidRPr="003F451C">
        <w:rPr>
          <w:rFonts w:ascii="Arial" w:hAnsi="Arial" w:cs="Arial"/>
          <w:sz w:val="24"/>
          <w:szCs w:val="24"/>
        </w:rPr>
        <w:t>,</w:t>
      </w:r>
      <w:r w:rsidR="0056204C" w:rsidRPr="003F451C">
        <w:rPr>
          <w:rFonts w:ascii="Arial" w:hAnsi="Arial" w:cs="Arial"/>
          <w:sz w:val="24"/>
          <w:szCs w:val="24"/>
        </w:rPr>
        <w:t xml:space="preserve"> kanunun bazı maddeleri </w:t>
      </w:r>
      <w:r w:rsidR="001820AF" w:rsidRPr="003F451C">
        <w:rPr>
          <w:rFonts w:ascii="Arial" w:hAnsi="Arial" w:cs="Arial"/>
          <w:sz w:val="24"/>
          <w:szCs w:val="24"/>
        </w:rPr>
        <w:t xml:space="preserve">idari makamlar tarafından </w:t>
      </w:r>
      <w:r w:rsidR="0056204C" w:rsidRPr="003F451C">
        <w:rPr>
          <w:rFonts w:ascii="Arial" w:hAnsi="Arial" w:cs="Arial"/>
          <w:sz w:val="24"/>
          <w:szCs w:val="24"/>
        </w:rPr>
        <w:t xml:space="preserve">keyfi olarak ve caydırıcı etki yaratmak için </w:t>
      </w:r>
      <w:r w:rsidRPr="003F451C">
        <w:rPr>
          <w:rFonts w:ascii="Arial" w:hAnsi="Arial" w:cs="Arial"/>
          <w:sz w:val="24"/>
          <w:szCs w:val="24"/>
        </w:rPr>
        <w:t>gösteri</w:t>
      </w:r>
      <w:r w:rsidR="00395C62" w:rsidRPr="003F451C">
        <w:rPr>
          <w:rFonts w:ascii="Arial" w:hAnsi="Arial" w:cs="Arial"/>
          <w:sz w:val="24"/>
          <w:szCs w:val="24"/>
        </w:rPr>
        <w:t>ci</w:t>
      </w:r>
      <w:r w:rsidR="0056204C" w:rsidRPr="003F451C">
        <w:rPr>
          <w:rFonts w:ascii="Arial" w:hAnsi="Arial" w:cs="Arial"/>
          <w:sz w:val="24"/>
          <w:szCs w:val="24"/>
        </w:rPr>
        <w:t>lere idari para cezaları kesilmesi uygulamasına son verecek düzenlemeler yapılma</w:t>
      </w:r>
      <w:r w:rsidR="00802DF8">
        <w:rPr>
          <w:rFonts w:ascii="Arial" w:hAnsi="Arial" w:cs="Arial"/>
          <w:sz w:val="24"/>
          <w:szCs w:val="24"/>
        </w:rPr>
        <w:t>lıdır</w:t>
      </w:r>
      <w:r w:rsidR="0056204C" w:rsidRPr="003F451C">
        <w:rPr>
          <w:rFonts w:ascii="Arial" w:hAnsi="Arial" w:cs="Arial"/>
          <w:sz w:val="24"/>
          <w:szCs w:val="24"/>
        </w:rPr>
        <w:t>,</w:t>
      </w:r>
    </w:p>
    <w:p w:rsidR="003473C6" w:rsidRPr="003F451C" w:rsidRDefault="003473C6" w:rsidP="00A02A40">
      <w:pPr>
        <w:pStyle w:val="ListeParagraf"/>
        <w:spacing w:line="276" w:lineRule="auto"/>
        <w:jc w:val="both"/>
        <w:rPr>
          <w:rFonts w:ascii="Arial" w:hAnsi="Arial" w:cs="Arial"/>
          <w:sz w:val="24"/>
          <w:szCs w:val="24"/>
        </w:rPr>
      </w:pPr>
    </w:p>
    <w:p w:rsidR="00710C6B" w:rsidRPr="003F451C" w:rsidRDefault="0056204C" w:rsidP="00A02A40">
      <w:pPr>
        <w:numPr>
          <w:ilvl w:val="0"/>
          <w:numId w:val="10"/>
        </w:numPr>
        <w:spacing w:after="0" w:line="276" w:lineRule="auto"/>
        <w:jc w:val="both"/>
        <w:rPr>
          <w:rFonts w:ascii="Arial" w:hAnsi="Arial" w:cs="Arial"/>
          <w:sz w:val="24"/>
          <w:szCs w:val="24"/>
        </w:rPr>
      </w:pPr>
      <w:r w:rsidRPr="003F451C">
        <w:rPr>
          <w:rFonts w:ascii="Arial" w:hAnsi="Arial" w:cs="Arial"/>
          <w:sz w:val="24"/>
          <w:szCs w:val="24"/>
        </w:rPr>
        <w:t>Kamu makamları ve kamu görevlilerinin; gösterinin konusu, amacı, düzenleyicilerinin siyasi eğilimleri vb. göstergeler üzerinden ayrımcı tutum takınmalarını önleyici düzenlemelere ilgili kanunlarda yer verilme</w:t>
      </w:r>
      <w:r w:rsidR="00D0386D">
        <w:rPr>
          <w:rFonts w:ascii="Arial" w:hAnsi="Arial" w:cs="Arial"/>
          <w:sz w:val="24"/>
          <w:szCs w:val="24"/>
        </w:rPr>
        <w:t>l</w:t>
      </w:r>
      <w:r w:rsidRPr="003F451C">
        <w:rPr>
          <w:rFonts w:ascii="Arial" w:hAnsi="Arial" w:cs="Arial"/>
          <w:sz w:val="24"/>
          <w:szCs w:val="24"/>
        </w:rPr>
        <w:t>i</w:t>
      </w:r>
      <w:r w:rsidR="00D0386D">
        <w:rPr>
          <w:rFonts w:ascii="Arial" w:hAnsi="Arial" w:cs="Arial"/>
          <w:sz w:val="24"/>
          <w:szCs w:val="24"/>
        </w:rPr>
        <w:t>dir</w:t>
      </w:r>
      <w:r w:rsidRPr="003F451C">
        <w:rPr>
          <w:rFonts w:ascii="Arial" w:hAnsi="Arial" w:cs="Arial"/>
          <w:sz w:val="24"/>
          <w:szCs w:val="24"/>
        </w:rPr>
        <w:t xml:space="preserve">, </w:t>
      </w:r>
    </w:p>
    <w:p w:rsidR="00710C6B" w:rsidRPr="003F451C" w:rsidRDefault="00710C6B" w:rsidP="00A02A40">
      <w:pPr>
        <w:pStyle w:val="ListeParagraf"/>
        <w:spacing w:line="276" w:lineRule="auto"/>
        <w:jc w:val="both"/>
        <w:rPr>
          <w:rFonts w:ascii="Arial" w:hAnsi="Arial" w:cs="Arial"/>
          <w:sz w:val="24"/>
          <w:szCs w:val="24"/>
        </w:rPr>
      </w:pPr>
    </w:p>
    <w:p w:rsidR="001820AF" w:rsidRPr="003F451C" w:rsidRDefault="0056204C" w:rsidP="00A02A40">
      <w:pPr>
        <w:numPr>
          <w:ilvl w:val="0"/>
          <w:numId w:val="10"/>
        </w:numPr>
        <w:spacing w:after="0" w:line="276" w:lineRule="auto"/>
        <w:jc w:val="both"/>
        <w:rPr>
          <w:rFonts w:ascii="Arial" w:hAnsi="Arial" w:cs="Arial"/>
          <w:sz w:val="24"/>
          <w:szCs w:val="24"/>
        </w:rPr>
      </w:pPr>
      <w:r w:rsidRPr="003F451C">
        <w:rPr>
          <w:rFonts w:ascii="Arial" w:hAnsi="Arial" w:cs="Arial"/>
          <w:sz w:val="24"/>
          <w:szCs w:val="24"/>
        </w:rPr>
        <w:t xml:space="preserve">Gösteriler sırasında gazeteciler ve izleme faaliyeti yapan sivil toplum örgütleri için </w:t>
      </w:r>
      <w:r w:rsidR="00EC09DE" w:rsidRPr="003F451C">
        <w:rPr>
          <w:rFonts w:ascii="Arial" w:hAnsi="Arial" w:cs="Arial"/>
          <w:sz w:val="24"/>
          <w:szCs w:val="24"/>
        </w:rPr>
        <w:t>gerekli kolaylıkların sa</w:t>
      </w:r>
      <w:r w:rsidR="005249C0" w:rsidRPr="003F451C">
        <w:rPr>
          <w:rFonts w:ascii="Arial" w:hAnsi="Arial" w:cs="Arial"/>
          <w:sz w:val="24"/>
          <w:szCs w:val="24"/>
        </w:rPr>
        <w:t>ğlayacak düzenlemeler yapılma</w:t>
      </w:r>
      <w:r w:rsidR="00EB1561">
        <w:rPr>
          <w:rFonts w:ascii="Arial" w:hAnsi="Arial" w:cs="Arial"/>
          <w:sz w:val="24"/>
          <w:szCs w:val="24"/>
        </w:rPr>
        <w:t>lıdır</w:t>
      </w:r>
      <w:r w:rsidR="005249C0" w:rsidRPr="003F451C">
        <w:rPr>
          <w:rFonts w:ascii="Arial" w:hAnsi="Arial" w:cs="Arial"/>
          <w:sz w:val="24"/>
          <w:szCs w:val="24"/>
        </w:rPr>
        <w:t>.</w:t>
      </w:r>
    </w:p>
    <w:p w:rsidR="00E31257" w:rsidRPr="003F451C" w:rsidRDefault="00E31257" w:rsidP="00A02A40">
      <w:pPr>
        <w:spacing w:line="276" w:lineRule="auto"/>
        <w:jc w:val="both"/>
        <w:rPr>
          <w:rFonts w:ascii="Arial" w:hAnsi="Arial" w:cs="Arial"/>
          <w:sz w:val="24"/>
          <w:szCs w:val="24"/>
        </w:rPr>
      </w:pPr>
      <w:r w:rsidRPr="003F451C">
        <w:rPr>
          <w:rFonts w:ascii="Arial" w:hAnsi="Arial" w:cs="Arial"/>
          <w:sz w:val="24"/>
          <w:szCs w:val="24"/>
        </w:rPr>
        <w:br w:type="page"/>
      </w:r>
    </w:p>
    <w:p w:rsidR="008755DA" w:rsidRPr="003F451C" w:rsidRDefault="008755DA" w:rsidP="00A02A40">
      <w:pPr>
        <w:pStyle w:val="Balk1"/>
        <w:spacing w:line="276" w:lineRule="auto"/>
        <w:jc w:val="both"/>
        <w:rPr>
          <w:b/>
        </w:rPr>
      </w:pPr>
      <w:r w:rsidRPr="003F451C">
        <w:rPr>
          <w:b/>
        </w:rPr>
        <w:lastRenderedPageBreak/>
        <w:t>Seçme ve Seçilme Hakkı</w:t>
      </w:r>
    </w:p>
    <w:p w:rsidR="00C600FC" w:rsidRPr="003F451C" w:rsidRDefault="00C600FC" w:rsidP="00A02A40">
      <w:pPr>
        <w:spacing w:before="120" w:after="120" w:line="276" w:lineRule="auto"/>
        <w:ind w:left="360"/>
        <w:jc w:val="both"/>
        <w:rPr>
          <w:rFonts w:ascii="Arial" w:hAnsi="Arial" w:cs="Arial"/>
          <w:sz w:val="24"/>
          <w:szCs w:val="24"/>
        </w:rPr>
      </w:pPr>
    </w:p>
    <w:p w:rsidR="00A06A16" w:rsidRPr="003F451C" w:rsidRDefault="008755DA" w:rsidP="00A02A40">
      <w:pPr>
        <w:pStyle w:val="ListeParagraf"/>
        <w:numPr>
          <w:ilvl w:val="0"/>
          <w:numId w:val="10"/>
        </w:numPr>
        <w:spacing w:before="120" w:after="120" w:line="276" w:lineRule="auto"/>
        <w:jc w:val="both"/>
        <w:rPr>
          <w:rFonts w:ascii="Arial" w:hAnsi="Arial" w:cs="Arial"/>
          <w:sz w:val="24"/>
          <w:szCs w:val="24"/>
        </w:rPr>
      </w:pPr>
      <w:r w:rsidRPr="003F451C">
        <w:rPr>
          <w:rFonts w:ascii="Arial" w:hAnsi="Arial" w:cs="Arial"/>
          <w:sz w:val="24"/>
          <w:szCs w:val="24"/>
        </w:rPr>
        <w:t>Türkiye seçim mevzuatı</w:t>
      </w:r>
      <w:r w:rsidR="003B5FB9">
        <w:rPr>
          <w:rFonts w:ascii="Arial" w:hAnsi="Arial" w:cs="Arial"/>
          <w:sz w:val="24"/>
          <w:szCs w:val="24"/>
        </w:rPr>
        <w:t>,</w:t>
      </w:r>
      <w:r w:rsidRPr="003F451C">
        <w:rPr>
          <w:rFonts w:ascii="Arial" w:hAnsi="Arial" w:cs="Arial"/>
          <w:sz w:val="24"/>
          <w:szCs w:val="24"/>
        </w:rPr>
        <w:t xml:space="preserve"> uluslararası standartlar ile tam uyumlu değildir. Genel seçimlerde %10 seçim barajı uygulanmaktadır</w:t>
      </w:r>
      <w:r w:rsidR="003B5FB9">
        <w:rPr>
          <w:rFonts w:ascii="Arial" w:hAnsi="Arial" w:cs="Arial"/>
          <w:sz w:val="24"/>
          <w:szCs w:val="24"/>
        </w:rPr>
        <w:t>.</w:t>
      </w:r>
      <w:r w:rsidRPr="003F451C">
        <w:rPr>
          <w:rFonts w:ascii="Arial" w:hAnsi="Arial" w:cs="Arial"/>
          <w:sz w:val="24"/>
          <w:szCs w:val="24"/>
        </w:rPr>
        <w:t xml:space="preserve"> </w:t>
      </w:r>
      <w:r w:rsidR="003B5FB9">
        <w:rPr>
          <w:rFonts w:ascii="Arial" w:hAnsi="Arial" w:cs="Arial"/>
          <w:sz w:val="24"/>
          <w:szCs w:val="24"/>
        </w:rPr>
        <w:t>B</w:t>
      </w:r>
      <w:r w:rsidRPr="003F451C">
        <w:rPr>
          <w:rFonts w:ascii="Arial" w:hAnsi="Arial" w:cs="Arial"/>
          <w:sz w:val="24"/>
          <w:szCs w:val="24"/>
        </w:rPr>
        <w:t xml:space="preserve">u </w:t>
      </w:r>
      <w:r w:rsidR="003B5FB9">
        <w:rPr>
          <w:rFonts w:ascii="Arial" w:hAnsi="Arial" w:cs="Arial"/>
          <w:sz w:val="24"/>
          <w:szCs w:val="24"/>
        </w:rPr>
        <w:t xml:space="preserve">uygulama, </w:t>
      </w:r>
      <w:r w:rsidRPr="003F451C">
        <w:rPr>
          <w:rFonts w:ascii="Arial" w:hAnsi="Arial" w:cs="Arial"/>
          <w:sz w:val="24"/>
          <w:szCs w:val="24"/>
        </w:rPr>
        <w:t>temsil adaletinin sağlanması ve çoğulcu bir siyasi ortamın oluşmasını engellemektedir. Seçim kanunlarında küçük siyasi partiler ve bağımsız adaylar aleyhine hükümler mevcuttur. Seçmen kayıtları adrese dayalı olarak oluşturulmaktadır</w:t>
      </w:r>
      <w:r w:rsidR="00487057">
        <w:rPr>
          <w:rFonts w:ascii="Arial" w:hAnsi="Arial" w:cs="Arial"/>
          <w:sz w:val="24"/>
          <w:szCs w:val="24"/>
        </w:rPr>
        <w:t>,</w:t>
      </w:r>
      <w:r w:rsidRPr="003F451C">
        <w:rPr>
          <w:rFonts w:ascii="Arial" w:hAnsi="Arial" w:cs="Arial"/>
          <w:sz w:val="24"/>
          <w:szCs w:val="24"/>
        </w:rPr>
        <w:t xml:space="preserve"> bu durum</w:t>
      </w:r>
      <w:r w:rsidR="00487057">
        <w:rPr>
          <w:rFonts w:ascii="Arial" w:hAnsi="Arial" w:cs="Arial"/>
          <w:sz w:val="24"/>
          <w:szCs w:val="24"/>
        </w:rPr>
        <w:t xml:space="preserve"> ise</w:t>
      </w:r>
      <w:r w:rsidRPr="003F451C">
        <w:rPr>
          <w:rFonts w:ascii="Arial" w:hAnsi="Arial" w:cs="Arial"/>
          <w:sz w:val="24"/>
          <w:szCs w:val="24"/>
        </w:rPr>
        <w:t xml:space="preserve"> evsiz kişilerin ve sığınma evlerindeki kadınların oy hakkını ihlal etmektedir. Zihinsel engelli kişilere oy hakkı tanınmamaktadır. Y</w:t>
      </w:r>
      <w:r w:rsidR="00E4077E">
        <w:rPr>
          <w:rFonts w:ascii="Arial" w:hAnsi="Arial" w:cs="Arial"/>
          <w:sz w:val="24"/>
          <w:szCs w:val="24"/>
        </w:rPr>
        <w:t>üksek Seçim Kurulu (Y</w:t>
      </w:r>
      <w:r w:rsidRPr="003F451C">
        <w:rPr>
          <w:rFonts w:ascii="Arial" w:hAnsi="Arial" w:cs="Arial"/>
          <w:sz w:val="24"/>
          <w:szCs w:val="24"/>
        </w:rPr>
        <w:t>SK</w:t>
      </w:r>
      <w:r w:rsidR="00E4077E">
        <w:rPr>
          <w:rFonts w:ascii="Arial" w:hAnsi="Arial" w:cs="Arial"/>
          <w:sz w:val="24"/>
          <w:szCs w:val="24"/>
        </w:rPr>
        <w:t>)</w:t>
      </w:r>
      <w:r w:rsidRPr="003F451C">
        <w:rPr>
          <w:rFonts w:ascii="Arial" w:hAnsi="Arial" w:cs="Arial"/>
          <w:sz w:val="24"/>
          <w:szCs w:val="24"/>
        </w:rPr>
        <w:t xml:space="preserve"> tarafından seçmenlerin bilgilendirmesi amacıyla yapılan seçmen eğitimleri yalnızca Türkçe dilinde yapılmakta</w:t>
      </w:r>
      <w:r w:rsidR="000A6AF6">
        <w:rPr>
          <w:rFonts w:ascii="Arial" w:hAnsi="Arial" w:cs="Arial"/>
          <w:sz w:val="24"/>
          <w:szCs w:val="24"/>
        </w:rPr>
        <w:t>,</w:t>
      </w:r>
      <w:r w:rsidRPr="003F451C">
        <w:rPr>
          <w:rFonts w:ascii="Arial" w:hAnsi="Arial" w:cs="Arial"/>
          <w:sz w:val="24"/>
          <w:szCs w:val="24"/>
        </w:rPr>
        <w:t xml:space="preserve"> bu </w:t>
      </w:r>
      <w:r w:rsidR="000A6AF6">
        <w:rPr>
          <w:rFonts w:ascii="Arial" w:hAnsi="Arial" w:cs="Arial"/>
          <w:sz w:val="24"/>
          <w:szCs w:val="24"/>
        </w:rPr>
        <w:t xml:space="preserve">durum </w:t>
      </w:r>
      <w:r w:rsidRPr="003F451C">
        <w:rPr>
          <w:rFonts w:ascii="Arial" w:hAnsi="Arial" w:cs="Arial"/>
          <w:sz w:val="24"/>
          <w:szCs w:val="24"/>
        </w:rPr>
        <w:t>farklı etnik gruplar</w:t>
      </w:r>
      <w:r w:rsidR="001D2987">
        <w:rPr>
          <w:rFonts w:ascii="Arial" w:hAnsi="Arial" w:cs="Arial"/>
          <w:sz w:val="24"/>
          <w:szCs w:val="24"/>
        </w:rPr>
        <w:t>a</w:t>
      </w:r>
      <w:r w:rsidRPr="003F451C">
        <w:rPr>
          <w:rFonts w:ascii="Arial" w:hAnsi="Arial" w:cs="Arial"/>
          <w:sz w:val="24"/>
          <w:szCs w:val="24"/>
        </w:rPr>
        <w:t xml:space="preserve"> mensu</w:t>
      </w:r>
      <w:r w:rsidR="001D2987">
        <w:rPr>
          <w:rFonts w:ascii="Arial" w:hAnsi="Arial" w:cs="Arial"/>
          <w:sz w:val="24"/>
          <w:szCs w:val="24"/>
        </w:rPr>
        <w:t>p</w:t>
      </w:r>
      <w:r w:rsidRPr="003F451C">
        <w:rPr>
          <w:rFonts w:ascii="Arial" w:hAnsi="Arial" w:cs="Arial"/>
          <w:sz w:val="24"/>
          <w:szCs w:val="24"/>
        </w:rPr>
        <w:t xml:space="preserve"> Türkçe bilmeyen seçmenler bakımından ayrımcılık oluşturmaktadır.</w:t>
      </w:r>
    </w:p>
    <w:p w:rsidR="00A06A16" w:rsidRPr="003F451C" w:rsidRDefault="00A06A16" w:rsidP="00A02A40">
      <w:pPr>
        <w:pStyle w:val="ListeParagraf"/>
        <w:spacing w:before="120" w:after="120" w:line="276" w:lineRule="auto"/>
        <w:jc w:val="both"/>
        <w:rPr>
          <w:rFonts w:ascii="Arial" w:hAnsi="Arial" w:cs="Arial"/>
          <w:sz w:val="24"/>
          <w:szCs w:val="24"/>
        </w:rPr>
      </w:pPr>
    </w:p>
    <w:p w:rsidR="00F76359" w:rsidRPr="003F451C" w:rsidRDefault="008755DA" w:rsidP="00A02A40">
      <w:pPr>
        <w:pStyle w:val="ListeParagraf"/>
        <w:numPr>
          <w:ilvl w:val="0"/>
          <w:numId w:val="10"/>
        </w:numPr>
        <w:spacing w:before="120" w:after="120" w:line="276" w:lineRule="auto"/>
        <w:jc w:val="both"/>
        <w:rPr>
          <w:rFonts w:ascii="Arial" w:hAnsi="Arial" w:cs="Arial"/>
          <w:sz w:val="24"/>
          <w:szCs w:val="24"/>
        </w:rPr>
      </w:pPr>
      <w:r w:rsidRPr="003F451C">
        <w:rPr>
          <w:rFonts w:ascii="Arial" w:hAnsi="Arial" w:cs="Arial"/>
          <w:sz w:val="24"/>
          <w:szCs w:val="24"/>
        </w:rPr>
        <w:t>Türkiye’de seçimlerin düzenlenmesi ve yürütülmesinden Yüksek Seçim Kurulu (YSK) sorumludur. Kurul</w:t>
      </w:r>
      <w:r w:rsidR="0074454E" w:rsidRPr="003F451C">
        <w:rPr>
          <w:rFonts w:ascii="Arial" w:hAnsi="Arial" w:cs="Arial"/>
          <w:sz w:val="24"/>
          <w:szCs w:val="24"/>
        </w:rPr>
        <w:t>,</w:t>
      </w:r>
      <w:r w:rsidRPr="003F451C">
        <w:rPr>
          <w:rFonts w:ascii="Arial" w:hAnsi="Arial" w:cs="Arial"/>
          <w:sz w:val="24"/>
          <w:szCs w:val="24"/>
        </w:rPr>
        <w:t xml:space="preserve"> 11 yüksek yargıç ve kararlarda oy hakkı olmayan ve mecliste temsil edilen siyasi parti temsilcilerinden oluşmaktadır. Anayasa gereğince kurulun kararları kesindir, kurul kararları ile ilgili herhangi bir yargı ya da idari merciye başvuru yapılamamaktadır. </w:t>
      </w:r>
    </w:p>
    <w:p w:rsidR="00F76359" w:rsidRPr="003F451C" w:rsidRDefault="00F76359" w:rsidP="00A02A40">
      <w:pPr>
        <w:pStyle w:val="ListeParagraf"/>
        <w:spacing w:line="276" w:lineRule="auto"/>
        <w:jc w:val="both"/>
        <w:rPr>
          <w:rFonts w:ascii="Arial" w:hAnsi="Arial" w:cs="Arial"/>
          <w:sz w:val="24"/>
          <w:szCs w:val="24"/>
        </w:rPr>
      </w:pPr>
    </w:p>
    <w:p w:rsidR="00F76359" w:rsidRPr="003F451C" w:rsidRDefault="008755DA" w:rsidP="00A02A40">
      <w:pPr>
        <w:pStyle w:val="ListeParagraf"/>
        <w:numPr>
          <w:ilvl w:val="0"/>
          <w:numId w:val="10"/>
        </w:numPr>
        <w:spacing w:before="120" w:after="120" w:line="276" w:lineRule="auto"/>
        <w:jc w:val="both"/>
        <w:rPr>
          <w:rFonts w:ascii="Arial" w:hAnsi="Arial" w:cs="Arial"/>
          <w:sz w:val="24"/>
          <w:szCs w:val="24"/>
        </w:rPr>
      </w:pPr>
      <w:r w:rsidRPr="003F451C">
        <w:rPr>
          <w:rFonts w:ascii="Arial" w:hAnsi="Arial" w:cs="Arial"/>
          <w:sz w:val="24"/>
          <w:szCs w:val="24"/>
        </w:rPr>
        <w:t>YSK kararlarında</w:t>
      </w:r>
      <w:r w:rsidR="00B207E0">
        <w:rPr>
          <w:rFonts w:ascii="Arial" w:hAnsi="Arial" w:cs="Arial"/>
          <w:sz w:val="24"/>
          <w:szCs w:val="24"/>
        </w:rPr>
        <w:t>,</w:t>
      </w:r>
      <w:r w:rsidRPr="003F451C">
        <w:rPr>
          <w:rFonts w:ascii="Arial" w:hAnsi="Arial" w:cs="Arial"/>
          <w:sz w:val="24"/>
          <w:szCs w:val="24"/>
        </w:rPr>
        <w:t xml:space="preserve"> seçme ve seçilme hakkına ilişkin uluslararası sözleşmeler dikkate alınmamakta, bazı durumlarda seçim kanunlarına aykırı kararlar alınmaktadır.</w:t>
      </w:r>
      <w:r w:rsidRPr="003F451C">
        <w:rPr>
          <w:vertAlign w:val="superscript"/>
        </w:rPr>
        <w:footnoteReference w:id="18"/>
      </w:r>
      <w:r w:rsidRPr="003F451C">
        <w:rPr>
          <w:rFonts w:ascii="Arial" w:hAnsi="Arial" w:cs="Arial"/>
          <w:sz w:val="24"/>
          <w:szCs w:val="24"/>
        </w:rPr>
        <w:t xml:space="preserve">  YSK kararları arasında çifte standart oluşturan çok sayıda karar yer almaktadır.</w:t>
      </w:r>
    </w:p>
    <w:p w:rsidR="00F76359" w:rsidRPr="003F451C" w:rsidRDefault="00F76359" w:rsidP="00A02A40">
      <w:pPr>
        <w:pStyle w:val="ListeParagraf"/>
        <w:spacing w:line="276" w:lineRule="auto"/>
        <w:jc w:val="both"/>
        <w:rPr>
          <w:rFonts w:ascii="Arial" w:hAnsi="Arial" w:cs="Arial"/>
          <w:sz w:val="24"/>
          <w:szCs w:val="24"/>
        </w:rPr>
      </w:pPr>
    </w:p>
    <w:p w:rsidR="008755DA" w:rsidRPr="003F451C" w:rsidRDefault="008755DA" w:rsidP="00A02A40">
      <w:pPr>
        <w:pStyle w:val="ListeParagraf"/>
        <w:numPr>
          <w:ilvl w:val="0"/>
          <w:numId w:val="10"/>
        </w:numPr>
        <w:spacing w:before="120" w:after="120" w:line="276" w:lineRule="auto"/>
        <w:jc w:val="both"/>
        <w:rPr>
          <w:rFonts w:ascii="Arial" w:hAnsi="Arial" w:cs="Arial"/>
          <w:sz w:val="24"/>
          <w:szCs w:val="24"/>
        </w:rPr>
      </w:pPr>
      <w:r w:rsidRPr="003F451C">
        <w:rPr>
          <w:rFonts w:ascii="Arial" w:hAnsi="Arial" w:cs="Arial"/>
          <w:sz w:val="24"/>
          <w:szCs w:val="24"/>
        </w:rPr>
        <w:t>Türkiye’de hükümlüler, mahkûm oldukları cezanın süresine ve işlemiş oldukları suçun mahiyetine veya ağırlığına bakılmadan, fark gözetmeksizin doğrudan uygulanan bir kısıtlama ile oy kullanma hakkından mahrum edilmektedir. AİHM</w:t>
      </w:r>
      <w:r w:rsidR="00263011">
        <w:rPr>
          <w:rFonts w:ascii="Arial" w:hAnsi="Arial" w:cs="Arial"/>
          <w:sz w:val="24"/>
          <w:szCs w:val="24"/>
        </w:rPr>
        <w:t>,</w:t>
      </w:r>
      <w:r w:rsidRPr="003F451C">
        <w:rPr>
          <w:vertAlign w:val="superscript"/>
        </w:rPr>
        <w:footnoteReference w:id="19"/>
      </w:r>
      <w:r w:rsidRPr="003F451C">
        <w:rPr>
          <w:rFonts w:ascii="Arial" w:hAnsi="Arial" w:cs="Arial"/>
          <w:sz w:val="24"/>
          <w:szCs w:val="24"/>
        </w:rPr>
        <w:t xml:space="preserve"> 2013 yılında Söyler</w:t>
      </w:r>
      <w:r w:rsidR="00BE14A1">
        <w:rPr>
          <w:rFonts w:ascii="Arial" w:hAnsi="Arial" w:cs="Arial"/>
          <w:sz w:val="24"/>
          <w:szCs w:val="24"/>
        </w:rPr>
        <w:t xml:space="preserve"> v. </w:t>
      </w:r>
      <w:r w:rsidRPr="003F451C">
        <w:rPr>
          <w:rFonts w:ascii="Arial" w:hAnsi="Arial" w:cs="Arial"/>
          <w:sz w:val="24"/>
          <w:szCs w:val="24"/>
        </w:rPr>
        <w:t>Türkiye kararında bu durumun AİHS’in</w:t>
      </w:r>
      <w:r w:rsidRPr="003F451C">
        <w:rPr>
          <w:vertAlign w:val="superscript"/>
        </w:rPr>
        <w:footnoteReference w:id="20"/>
      </w:r>
      <w:r w:rsidRPr="003F451C">
        <w:rPr>
          <w:rFonts w:ascii="Arial" w:hAnsi="Arial" w:cs="Arial"/>
          <w:sz w:val="24"/>
          <w:szCs w:val="24"/>
        </w:rPr>
        <w:t xml:space="preserve"> 1 </w:t>
      </w:r>
      <w:r w:rsidR="003D3A90">
        <w:rPr>
          <w:rFonts w:ascii="Arial" w:hAnsi="Arial" w:cs="Arial"/>
          <w:sz w:val="24"/>
          <w:szCs w:val="24"/>
        </w:rPr>
        <w:t xml:space="preserve">No’lu </w:t>
      </w:r>
      <w:r w:rsidRPr="003F451C">
        <w:rPr>
          <w:rFonts w:ascii="Arial" w:hAnsi="Arial" w:cs="Arial"/>
          <w:sz w:val="24"/>
          <w:szCs w:val="24"/>
        </w:rPr>
        <w:t>Protokolü’nün</w:t>
      </w:r>
      <w:r w:rsidR="00F74EA4" w:rsidRPr="003F451C">
        <w:rPr>
          <w:rFonts w:ascii="Arial" w:hAnsi="Arial" w:cs="Arial"/>
          <w:sz w:val="24"/>
          <w:szCs w:val="24"/>
        </w:rPr>
        <w:t xml:space="preserve"> 3. </w:t>
      </w:r>
      <w:r w:rsidR="00CA29BB" w:rsidRPr="003F451C">
        <w:rPr>
          <w:rFonts w:ascii="Arial" w:hAnsi="Arial" w:cs="Arial"/>
          <w:sz w:val="24"/>
          <w:szCs w:val="24"/>
        </w:rPr>
        <w:t>M</w:t>
      </w:r>
      <w:r w:rsidR="00F74EA4" w:rsidRPr="003F451C">
        <w:rPr>
          <w:rFonts w:ascii="Arial" w:hAnsi="Arial" w:cs="Arial"/>
          <w:sz w:val="24"/>
          <w:szCs w:val="24"/>
        </w:rPr>
        <w:t>addesinin</w:t>
      </w:r>
      <w:r w:rsidR="00CA29BB">
        <w:rPr>
          <w:rFonts w:ascii="Arial" w:hAnsi="Arial" w:cs="Arial"/>
          <w:sz w:val="24"/>
          <w:szCs w:val="24"/>
        </w:rPr>
        <w:t xml:space="preserve"> ihlali olduğuna</w:t>
      </w:r>
      <w:r w:rsidRPr="003F451C">
        <w:rPr>
          <w:vertAlign w:val="superscript"/>
        </w:rPr>
        <w:footnoteReference w:id="21"/>
      </w:r>
      <w:r w:rsidRPr="003F451C">
        <w:rPr>
          <w:rFonts w:ascii="Arial" w:hAnsi="Arial" w:cs="Arial"/>
          <w:sz w:val="24"/>
          <w:szCs w:val="24"/>
        </w:rPr>
        <w:t xml:space="preserve"> karar vermiş olmasına rağmen yasalarda değişiklik yapılmamıştır.</w:t>
      </w:r>
    </w:p>
    <w:p w:rsidR="008755DA" w:rsidRPr="003F451C" w:rsidRDefault="008755DA" w:rsidP="00A02A40">
      <w:pPr>
        <w:spacing w:before="120" w:after="120" w:line="276" w:lineRule="auto"/>
        <w:ind w:left="360"/>
        <w:jc w:val="both"/>
        <w:rPr>
          <w:rFonts w:ascii="Arial" w:hAnsi="Arial" w:cs="Arial"/>
          <w:sz w:val="24"/>
          <w:szCs w:val="24"/>
        </w:rPr>
      </w:pPr>
    </w:p>
    <w:p w:rsidR="008755DA" w:rsidRPr="003F451C" w:rsidRDefault="008755DA" w:rsidP="00A02A40">
      <w:pPr>
        <w:spacing w:before="120" w:after="120" w:line="276" w:lineRule="auto"/>
        <w:ind w:left="360"/>
        <w:jc w:val="both"/>
        <w:rPr>
          <w:rFonts w:ascii="Arial" w:hAnsi="Arial" w:cs="Arial"/>
          <w:b/>
          <w:sz w:val="24"/>
          <w:szCs w:val="24"/>
        </w:rPr>
      </w:pPr>
      <w:r w:rsidRPr="003F451C">
        <w:rPr>
          <w:rFonts w:ascii="Arial" w:hAnsi="Arial" w:cs="Arial"/>
          <w:b/>
          <w:sz w:val="24"/>
          <w:szCs w:val="24"/>
        </w:rPr>
        <w:t>Tavsiyelerimiz;</w:t>
      </w:r>
    </w:p>
    <w:p w:rsidR="008755DA" w:rsidRPr="003F451C" w:rsidRDefault="008755DA" w:rsidP="00A02A40">
      <w:pPr>
        <w:spacing w:before="120" w:after="120" w:line="276" w:lineRule="auto"/>
        <w:ind w:left="360"/>
        <w:jc w:val="both"/>
        <w:rPr>
          <w:rFonts w:ascii="Arial" w:hAnsi="Arial" w:cs="Arial"/>
          <w:sz w:val="24"/>
          <w:szCs w:val="24"/>
        </w:rPr>
      </w:pPr>
    </w:p>
    <w:p w:rsidR="00076623" w:rsidRPr="003F451C" w:rsidRDefault="008755DA" w:rsidP="00A02A40">
      <w:pPr>
        <w:pStyle w:val="ListeParagraf"/>
        <w:numPr>
          <w:ilvl w:val="0"/>
          <w:numId w:val="10"/>
        </w:numPr>
        <w:spacing w:before="120" w:after="120" w:line="276" w:lineRule="auto"/>
        <w:jc w:val="both"/>
        <w:rPr>
          <w:rFonts w:ascii="Arial" w:hAnsi="Arial" w:cs="Arial"/>
          <w:sz w:val="24"/>
          <w:szCs w:val="24"/>
        </w:rPr>
      </w:pPr>
      <w:r w:rsidRPr="003F451C">
        <w:rPr>
          <w:rFonts w:ascii="Arial" w:hAnsi="Arial" w:cs="Arial"/>
          <w:sz w:val="24"/>
          <w:szCs w:val="24"/>
        </w:rPr>
        <w:t xml:space="preserve">Siyasi parti ve adayların seçim harcamalarının şeffaflığını ve etkili denetimini sağlayacak bir mekanizma bulunmamaktadır. Kamuoyunun bilgi alma ve seçim </w:t>
      </w:r>
      <w:r w:rsidRPr="003F451C">
        <w:rPr>
          <w:rFonts w:ascii="Arial" w:hAnsi="Arial" w:cs="Arial"/>
          <w:sz w:val="24"/>
          <w:szCs w:val="24"/>
        </w:rPr>
        <w:lastRenderedPageBreak/>
        <w:t>harcamalarının şeffaflığını sağlamak için yasal düzenleme yapılma</w:t>
      </w:r>
      <w:r w:rsidR="00BF0E3A">
        <w:rPr>
          <w:rFonts w:ascii="Arial" w:hAnsi="Arial" w:cs="Arial"/>
          <w:sz w:val="24"/>
          <w:szCs w:val="24"/>
        </w:rPr>
        <w:t>lı</w:t>
      </w:r>
      <w:r w:rsidRPr="003F451C">
        <w:rPr>
          <w:rFonts w:ascii="Arial" w:hAnsi="Arial" w:cs="Arial"/>
          <w:sz w:val="24"/>
          <w:szCs w:val="24"/>
        </w:rPr>
        <w:t xml:space="preserve"> ve etkili bir mekanizma kurul</w:t>
      </w:r>
      <w:r w:rsidR="00BF0E3A">
        <w:rPr>
          <w:rFonts w:ascii="Arial" w:hAnsi="Arial" w:cs="Arial"/>
          <w:sz w:val="24"/>
          <w:szCs w:val="24"/>
        </w:rPr>
        <w:t>malıdır</w:t>
      </w:r>
      <w:r w:rsidRPr="003F451C">
        <w:rPr>
          <w:rFonts w:ascii="Arial" w:hAnsi="Arial" w:cs="Arial"/>
          <w:sz w:val="24"/>
          <w:szCs w:val="24"/>
        </w:rPr>
        <w:t>,</w:t>
      </w:r>
    </w:p>
    <w:p w:rsidR="00076623" w:rsidRPr="003F451C" w:rsidRDefault="00076623" w:rsidP="00A02A40">
      <w:pPr>
        <w:pStyle w:val="ListeParagraf"/>
        <w:spacing w:before="120" w:after="120" w:line="276" w:lineRule="auto"/>
        <w:jc w:val="both"/>
        <w:rPr>
          <w:rFonts w:ascii="Arial" w:hAnsi="Arial" w:cs="Arial"/>
          <w:sz w:val="24"/>
          <w:szCs w:val="24"/>
        </w:rPr>
      </w:pPr>
    </w:p>
    <w:p w:rsidR="005D7368" w:rsidRPr="003F451C" w:rsidRDefault="008755DA" w:rsidP="00A02A40">
      <w:pPr>
        <w:pStyle w:val="ListeParagraf"/>
        <w:numPr>
          <w:ilvl w:val="0"/>
          <w:numId w:val="10"/>
        </w:numPr>
        <w:spacing w:before="120" w:after="120" w:line="276" w:lineRule="auto"/>
        <w:jc w:val="both"/>
        <w:rPr>
          <w:rFonts w:ascii="Arial" w:hAnsi="Arial" w:cs="Arial"/>
          <w:sz w:val="24"/>
          <w:szCs w:val="24"/>
        </w:rPr>
      </w:pPr>
      <w:r w:rsidRPr="003F451C">
        <w:rPr>
          <w:rFonts w:ascii="Arial" w:hAnsi="Arial" w:cs="Arial"/>
          <w:sz w:val="24"/>
          <w:szCs w:val="24"/>
        </w:rPr>
        <w:t>Türkiye %10 seçim barajı oranı ile Avrupa Birliği (AB) ülkeleri</w:t>
      </w:r>
      <w:r w:rsidR="0017637D" w:rsidRPr="003F451C">
        <w:rPr>
          <w:rFonts w:ascii="Arial" w:hAnsi="Arial" w:cs="Arial"/>
          <w:sz w:val="24"/>
          <w:szCs w:val="24"/>
        </w:rPr>
        <w:t xml:space="preserve">ne kıyasla </w:t>
      </w:r>
      <w:r w:rsidRPr="003F451C">
        <w:rPr>
          <w:rFonts w:ascii="Arial" w:hAnsi="Arial" w:cs="Arial"/>
          <w:sz w:val="24"/>
          <w:szCs w:val="24"/>
        </w:rPr>
        <w:t>en yüksek seçim barajı oranına sahiptir. Demokratik bir toplum ve temsil adaletinin sağlanması için %10 seçim barajının kaldırılması ya da AB üye ülkeleri ortalaması düzeyine çekilme</w:t>
      </w:r>
      <w:r w:rsidR="00152C34">
        <w:rPr>
          <w:rFonts w:ascii="Arial" w:hAnsi="Arial" w:cs="Arial"/>
          <w:sz w:val="24"/>
          <w:szCs w:val="24"/>
        </w:rPr>
        <w:t>lidir,</w:t>
      </w:r>
    </w:p>
    <w:p w:rsidR="005D7368" w:rsidRPr="003F451C" w:rsidRDefault="005D7368" w:rsidP="00A02A40">
      <w:pPr>
        <w:pStyle w:val="ListeParagraf"/>
        <w:spacing w:line="276" w:lineRule="auto"/>
        <w:jc w:val="both"/>
        <w:rPr>
          <w:rFonts w:ascii="Arial" w:hAnsi="Arial" w:cs="Arial"/>
          <w:sz w:val="24"/>
          <w:szCs w:val="24"/>
        </w:rPr>
      </w:pPr>
    </w:p>
    <w:p w:rsidR="005D7368" w:rsidRPr="003F451C" w:rsidRDefault="008755DA" w:rsidP="00A02A40">
      <w:pPr>
        <w:pStyle w:val="ListeParagraf"/>
        <w:numPr>
          <w:ilvl w:val="0"/>
          <w:numId w:val="10"/>
        </w:numPr>
        <w:spacing w:before="120" w:after="120" w:line="276" w:lineRule="auto"/>
        <w:jc w:val="both"/>
        <w:rPr>
          <w:rFonts w:ascii="Arial" w:hAnsi="Arial" w:cs="Arial"/>
          <w:sz w:val="24"/>
          <w:szCs w:val="24"/>
        </w:rPr>
      </w:pPr>
      <w:r w:rsidRPr="003F451C">
        <w:rPr>
          <w:rFonts w:ascii="Arial" w:hAnsi="Arial" w:cs="Arial"/>
          <w:sz w:val="24"/>
          <w:szCs w:val="24"/>
        </w:rPr>
        <w:t>Seçme ve seçilme hakkının ihlal edildiği YSK kararları ile ilgili olarak seçmenlere Anayasa Mahkemesine Bireysel Başvuru yapma hakkının tanınması konusunda yasal düzenleme yapılma</w:t>
      </w:r>
      <w:r w:rsidR="00386A06">
        <w:rPr>
          <w:rFonts w:ascii="Arial" w:hAnsi="Arial" w:cs="Arial"/>
          <w:sz w:val="24"/>
          <w:szCs w:val="24"/>
        </w:rPr>
        <w:t>lıdır</w:t>
      </w:r>
      <w:r w:rsidRPr="003F451C">
        <w:rPr>
          <w:rFonts w:ascii="Arial" w:hAnsi="Arial" w:cs="Arial"/>
          <w:sz w:val="24"/>
          <w:szCs w:val="24"/>
        </w:rPr>
        <w:t>,</w:t>
      </w:r>
    </w:p>
    <w:p w:rsidR="005D7368" w:rsidRPr="003F451C" w:rsidRDefault="005D7368" w:rsidP="00A02A40">
      <w:pPr>
        <w:pStyle w:val="ListeParagraf"/>
        <w:spacing w:line="276" w:lineRule="auto"/>
        <w:jc w:val="both"/>
        <w:rPr>
          <w:rFonts w:ascii="Arial" w:hAnsi="Arial" w:cs="Arial"/>
          <w:sz w:val="24"/>
          <w:szCs w:val="24"/>
        </w:rPr>
      </w:pPr>
    </w:p>
    <w:p w:rsidR="008755DA" w:rsidRPr="003F451C" w:rsidRDefault="008755DA" w:rsidP="00A02A40">
      <w:pPr>
        <w:pStyle w:val="ListeParagraf"/>
        <w:numPr>
          <w:ilvl w:val="0"/>
          <w:numId w:val="10"/>
        </w:numPr>
        <w:spacing w:before="120" w:after="120" w:line="276" w:lineRule="auto"/>
        <w:jc w:val="both"/>
        <w:rPr>
          <w:rFonts w:ascii="Arial" w:hAnsi="Arial" w:cs="Arial"/>
          <w:sz w:val="24"/>
          <w:szCs w:val="24"/>
        </w:rPr>
      </w:pPr>
      <w:r w:rsidRPr="003F451C">
        <w:rPr>
          <w:rFonts w:ascii="Arial" w:hAnsi="Arial" w:cs="Arial"/>
          <w:sz w:val="24"/>
          <w:szCs w:val="24"/>
        </w:rPr>
        <w:t>Adrese dayalı seçmen kütüğü sisteminden dolayı oy verme hakları engellenen evsiz kişiler ile sığınma evlerinde yaşayan kadınların oy haklarını kullanmalarını sağlanması için yasal düzenleme yapılarak alternatif kayıt yolları oluşturulma</w:t>
      </w:r>
      <w:r w:rsidR="00EE170D">
        <w:rPr>
          <w:rFonts w:ascii="Arial" w:hAnsi="Arial" w:cs="Arial"/>
          <w:sz w:val="24"/>
          <w:szCs w:val="24"/>
        </w:rPr>
        <w:t>lıdır</w:t>
      </w:r>
      <w:r w:rsidRPr="003F451C">
        <w:rPr>
          <w:rFonts w:ascii="Arial" w:hAnsi="Arial" w:cs="Arial"/>
          <w:sz w:val="24"/>
          <w:szCs w:val="24"/>
        </w:rPr>
        <w:t>,</w:t>
      </w:r>
    </w:p>
    <w:p w:rsidR="005D7368" w:rsidRPr="003F451C" w:rsidRDefault="005D7368" w:rsidP="00A02A40">
      <w:pPr>
        <w:pStyle w:val="ListeParagraf"/>
        <w:spacing w:line="276" w:lineRule="auto"/>
        <w:jc w:val="both"/>
        <w:rPr>
          <w:rFonts w:ascii="Arial" w:hAnsi="Arial" w:cs="Arial"/>
          <w:sz w:val="24"/>
          <w:szCs w:val="24"/>
        </w:rPr>
      </w:pPr>
    </w:p>
    <w:p w:rsidR="008755DA" w:rsidRPr="003F451C" w:rsidRDefault="008755DA" w:rsidP="00A02A40">
      <w:pPr>
        <w:pStyle w:val="ListeParagraf"/>
        <w:numPr>
          <w:ilvl w:val="0"/>
          <w:numId w:val="10"/>
        </w:numPr>
        <w:spacing w:before="120" w:after="120" w:line="276" w:lineRule="auto"/>
        <w:jc w:val="both"/>
        <w:rPr>
          <w:rFonts w:ascii="Arial" w:hAnsi="Arial" w:cs="Arial"/>
          <w:sz w:val="24"/>
          <w:szCs w:val="24"/>
        </w:rPr>
      </w:pPr>
      <w:r w:rsidRPr="003F451C">
        <w:rPr>
          <w:rFonts w:ascii="Arial" w:hAnsi="Arial" w:cs="Arial"/>
          <w:sz w:val="24"/>
          <w:szCs w:val="24"/>
        </w:rPr>
        <w:t>YSK tarafından yapılan seçmen eğitimlerinin Türkiye</w:t>
      </w:r>
      <w:r w:rsidR="0074454E" w:rsidRPr="003F451C">
        <w:rPr>
          <w:rFonts w:ascii="Arial" w:hAnsi="Arial" w:cs="Arial"/>
          <w:sz w:val="24"/>
          <w:szCs w:val="24"/>
        </w:rPr>
        <w:t>’de</w:t>
      </w:r>
      <w:r w:rsidRPr="003F451C">
        <w:rPr>
          <w:rFonts w:ascii="Arial" w:hAnsi="Arial" w:cs="Arial"/>
          <w:sz w:val="24"/>
          <w:szCs w:val="24"/>
        </w:rPr>
        <w:t xml:space="preserve"> yurttaşlarının kullandığı farklı dillerde yapılması için </w:t>
      </w:r>
      <w:r w:rsidR="009E6286" w:rsidRPr="003F451C">
        <w:rPr>
          <w:rFonts w:ascii="Arial" w:hAnsi="Arial" w:cs="Arial"/>
          <w:sz w:val="24"/>
          <w:szCs w:val="24"/>
        </w:rPr>
        <w:t xml:space="preserve">gerekli </w:t>
      </w:r>
      <w:r w:rsidRPr="003F451C">
        <w:rPr>
          <w:rFonts w:ascii="Arial" w:hAnsi="Arial" w:cs="Arial"/>
          <w:sz w:val="24"/>
          <w:szCs w:val="24"/>
        </w:rPr>
        <w:t>yasal düzenleme yapılma</w:t>
      </w:r>
      <w:r w:rsidR="00520F6F">
        <w:rPr>
          <w:rFonts w:ascii="Arial" w:hAnsi="Arial" w:cs="Arial"/>
          <w:sz w:val="24"/>
          <w:szCs w:val="24"/>
        </w:rPr>
        <w:t>lıdır</w:t>
      </w:r>
      <w:r w:rsidRPr="003F451C">
        <w:rPr>
          <w:rFonts w:ascii="Arial" w:hAnsi="Arial" w:cs="Arial"/>
          <w:sz w:val="24"/>
          <w:szCs w:val="24"/>
        </w:rPr>
        <w:t>,</w:t>
      </w:r>
      <w:r w:rsidRPr="003F451C">
        <w:rPr>
          <w:rFonts w:ascii="Arial" w:hAnsi="Arial" w:cs="Arial"/>
          <w:sz w:val="24"/>
          <w:szCs w:val="24"/>
          <w:vertAlign w:val="superscript"/>
        </w:rPr>
        <w:footnoteReference w:id="22"/>
      </w:r>
    </w:p>
    <w:p w:rsidR="005D7368" w:rsidRPr="003F451C" w:rsidRDefault="005D7368" w:rsidP="00A02A40">
      <w:pPr>
        <w:pStyle w:val="ListeParagraf"/>
        <w:spacing w:line="276" w:lineRule="auto"/>
        <w:jc w:val="both"/>
        <w:rPr>
          <w:rFonts w:ascii="Arial" w:hAnsi="Arial" w:cs="Arial"/>
          <w:sz w:val="24"/>
          <w:szCs w:val="24"/>
        </w:rPr>
      </w:pPr>
    </w:p>
    <w:p w:rsidR="008755DA" w:rsidRPr="003F451C" w:rsidRDefault="008755DA" w:rsidP="00A02A40">
      <w:pPr>
        <w:pStyle w:val="ListeParagraf"/>
        <w:numPr>
          <w:ilvl w:val="0"/>
          <w:numId w:val="10"/>
        </w:numPr>
        <w:spacing w:before="120" w:after="120" w:line="276" w:lineRule="auto"/>
        <w:jc w:val="both"/>
        <w:rPr>
          <w:rFonts w:ascii="Arial" w:hAnsi="Arial" w:cs="Arial"/>
          <w:sz w:val="24"/>
          <w:szCs w:val="24"/>
        </w:rPr>
      </w:pPr>
      <w:r w:rsidRPr="003F451C">
        <w:rPr>
          <w:rFonts w:ascii="Arial" w:hAnsi="Arial" w:cs="Arial"/>
          <w:sz w:val="24"/>
          <w:szCs w:val="24"/>
        </w:rPr>
        <w:t>Zihinsel engelli kişilerin oy kullanma hakkının yasal olarak tanınma</w:t>
      </w:r>
      <w:r w:rsidR="00451650">
        <w:rPr>
          <w:rFonts w:ascii="Arial" w:hAnsi="Arial" w:cs="Arial"/>
          <w:sz w:val="24"/>
          <w:szCs w:val="24"/>
        </w:rPr>
        <w:t>lıdır</w:t>
      </w:r>
      <w:r w:rsidRPr="003F451C">
        <w:rPr>
          <w:rFonts w:ascii="Arial" w:hAnsi="Arial" w:cs="Arial"/>
          <w:sz w:val="24"/>
          <w:szCs w:val="24"/>
        </w:rPr>
        <w:t>,</w:t>
      </w:r>
    </w:p>
    <w:p w:rsidR="005D7368" w:rsidRPr="003F451C" w:rsidRDefault="005D7368" w:rsidP="00A02A40">
      <w:pPr>
        <w:pStyle w:val="ListeParagraf"/>
        <w:spacing w:line="276" w:lineRule="auto"/>
        <w:jc w:val="both"/>
        <w:rPr>
          <w:rFonts w:ascii="Arial" w:hAnsi="Arial" w:cs="Arial"/>
          <w:sz w:val="24"/>
          <w:szCs w:val="24"/>
        </w:rPr>
      </w:pPr>
    </w:p>
    <w:p w:rsidR="008755DA" w:rsidRPr="003F451C" w:rsidRDefault="008755DA" w:rsidP="00A02A40">
      <w:pPr>
        <w:pStyle w:val="ListeParagraf"/>
        <w:numPr>
          <w:ilvl w:val="0"/>
          <w:numId w:val="10"/>
        </w:numPr>
        <w:spacing w:before="120" w:after="120" w:line="276" w:lineRule="auto"/>
        <w:jc w:val="both"/>
        <w:rPr>
          <w:rFonts w:ascii="Arial" w:hAnsi="Arial" w:cs="Arial"/>
          <w:sz w:val="24"/>
          <w:szCs w:val="24"/>
        </w:rPr>
      </w:pPr>
      <w:r w:rsidRPr="003F451C">
        <w:rPr>
          <w:rFonts w:ascii="Arial" w:hAnsi="Arial" w:cs="Arial"/>
          <w:sz w:val="24"/>
          <w:szCs w:val="24"/>
        </w:rPr>
        <w:t>Seçim dönemlerinde</w:t>
      </w:r>
      <w:r w:rsidR="00002416" w:rsidRPr="003F451C">
        <w:rPr>
          <w:rFonts w:ascii="Arial" w:hAnsi="Arial" w:cs="Arial"/>
          <w:sz w:val="24"/>
          <w:szCs w:val="24"/>
        </w:rPr>
        <w:t>,</w:t>
      </w:r>
      <w:r w:rsidRPr="003F451C">
        <w:rPr>
          <w:rFonts w:ascii="Arial" w:hAnsi="Arial" w:cs="Arial"/>
          <w:sz w:val="24"/>
          <w:szCs w:val="24"/>
        </w:rPr>
        <w:t xml:space="preserve"> kamu olanaklarının ve kamu yetkilerinin belirli siyasi partiler lehine veya aleyhine kullanılmasının önlenmesine ilişkin etkili yasal düzenlemeler yapılma</w:t>
      </w:r>
      <w:r w:rsidR="00451650">
        <w:rPr>
          <w:rFonts w:ascii="Arial" w:hAnsi="Arial" w:cs="Arial"/>
          <w:sz w:val="24"/>
          <w:szCs w:val="24"/>
        </w:rPr>
        <w:t>lıdır</w:t>
      </w:r>
      <w:r w:rsidRPr="003F451C">
        <w:rPr>
          <w:rFonts w:ascii="Arial" w:hAnsi="Arial" w:cs="Arial"/>
          <w:sz w:val="24"/>
          <w:szCs w:val="24"/>
        </w:rPr>
        <w:t>,</w:t>
      </w:r>
    </w:p>
    <w:p w:rsidR="005D7368" w:rsidRPr="003F451C" w:rsidRDefault="005D7368" w:rsidP="00A02A40">
      <w:pPr>
        <w:pStyle w:val="ListeParagraf"/>
        <w:spacing w:line="276" w:lineRule="auto"/>
        <w:jc w:val="both"/>
        <w:rPr>
          <w:rFonts w:ascii="Arial" w:hAnsi="Arial" w:cs="Arial"/>
          <w:sz w:val="24"/>
          <w:szCs w:val="24"/>
        </w:rPr>
      </w:pPr>
    </w:p>
    <w:p w:rsidR="008755DA" w:rsidRPr="003F451C" w:rsidRDefault="008755DA" w:rsidP="00A02A40">
      <w:pPr>
        <w:pStyle w:val="ListeParagraf"/>
        <w:numPr>
          <w:ilvl w:val="0"/>
          <w:numId w:val="10"/>
        </w:numPr>
        <w:spacing w:before="120" w:after="120" w:line="276" w:lineRule="auto"/>
        <w:jc w:val="both"/>
        <w:rPr>
          <w:rFonts w:ascii="Arial" w:hAnsi="Arial" w:cs="Arial"/>
          <w:sz w:val="24"/>
          <w:szCs w:val="24"/>
        </w:rPr>
      </w:pPr>
      <w:r w:rsidRPr="003F451C">
        <w:rPr>
          <w:rFonts w:ascii="Arial" w:hAnsi="Arial" w:cs="Arial"/>
          <w:sz w:val="24"/>
          <w:szCs w:val="24"/>
        </w:rPr>
        <w:t>Seçim kampanyalarında siyasi partiler, adaylar ve medya organları tarafından ırkçı/ayrımcı söylem ve nefret dilinin kullanılmasını engelleyecek yasal düzenleme</w:t>
      </w:r>
      <w:r w:rsidR="00A45821">
        <w:rPr>
          <w:rFonts w:ascii="Arial" w:hAnsi="Arial" w:cs="Arial"/>
          <w:sz w:val="24"/>
          <w:szCs w:val="24"/>
        </w:rPr>
        <w:t xml:space="preserve"> </w:t>
      </w:r>
      <w:r w:rsidRPr="003F451C">
        <w:rPr>
          <w:rFonts w:ascii="Arial" w:hAnsi="Arial" w:cs="Arial"/>
          <w:sz w:val="24"/>
          <w:szCs w:val="24"/>
        </w:rPr>
        <w:t>yapılma</w:t>
      </w:r>
      <w:r w:rsidR="00A45821">
        <w:rPr>
          <w:rFonts w:ascii="Arial" w:hAnsi="Arial" w:cs="Arial"/>
          <w:sz w:val="24"/>
          <w:szCs w:val="24"/>
        </w:rPr>
        <w:t>l</w:t>
      </w:r>
      <w:r w:rsidRPr="003F451C">
        <w:rPr>
          <w:rFonts w:ascii="Arial" w:hAnsi="Arial" w:cs="Arial"/>
          <w:sz w:val="24"/>
          <w:szCs w:val="24"/>
        </w:rPr>
        <w:t xml:space="preserve">ı ve </w:t>
      </w:r>
      <w:r w:rsidR="00002416" w:rsidRPr="003F451C">
        <w:rPr>
          <w:rFonts w:ascii="Arial" w:hAnsi="Arial" w:cs="Arial"/>
          <w:sz w:val="24"/>
          <w:szCs w:val="24"/>
        </w:rPr>
        <w:t xml:space="preserve">bir </w:t>
      </w:r>
      <w:r w:rsidRPr="003F451C">
        <w:rPr>
          <w:rFonts w:ascii="Arial" w:hAnsi="Arial" w:cs="Arial"/>
          <w:sz w:val="24"/>
          <w:szCs w:val="24"/>
        </w:rPr>
        <w:t>izleme mekanizması kurulma</w:t>
      </w:r>
      <w:r w:rsidR="00A45821">
        <w:rPr>
          <w:rFonts w:ascii="Arial" w:hAnsi="Arial" w:cs="Arial"/>
          <w:sz w:val="24"/>
          <w:szCs w:val="24"/>
        </w:rPr>
        <w:t>lıdır,</w:t>
      </w:r>
    </w:p>
    <w:p w:rsidR="005D7368" w:rsidRPr="003F451C" w:rsidRDefault="005D7368" w:rsidP="00A02A40">
      <w:pPr>
        <w:pStyle w:val="ListeParagraf"/>
        <w:spacing w:line="276" w:lineRule="auto"/>
        <w:jc w:val="both"/>
        <w:rPr>
          <w:rFonts w:ascii="Arial" w:hAnsi="Arial" w:cs="Arial"/>
          <w:sz w:val="24"/>
          <w:szCs w:val="24"/>
        </w:rPr>
      </w:pPr>
    </w:p>
    <w:p w:rsidR="008755DA" w:rsidRPr="003F451C" w:rsidRDefault="008755DA" w:rsidP="00A02A40">
      <w:pPr>
        <w:pStyle w:val="ListeParagraf"/>
        <w:numPr>
          <w:ilvl w:val="0"/>
          <w:numId w:val="10"/>
        </w:numPr>
        <w:spacing w:before="120" w:after="120" w:line="276" w:lineRule="auto"/>
        <w:jc w:val="both"/>
        <w:rPr>
          <w:rFonts w:ascii="Arial" w:hAnsi="Arial" w:cs="Arial"/>
          <w:sz w:val="24"/>
          <w:szCs w:val="24"/>
        </w:rPr>
      </w:pPr>
      <w:r w:rsidRPr="003F451C">
        <w:rPr>
          <w:rFonts w:ascii="Arial" w:hAnsi="Arial" w:cs="Arial"/>
          <w:sz w:val="24"/>
          <w:szCs w:val="24"/>
        </w:rPr>
        <w:t>Hükümlülerin oy kullanma haklarının kısıtlanması konusunda suçun mahiyeti, ağılığı ve cezanın süresine göre farklılaştıran yasal düzenlemeler yapılma</w:t>
      </w:r>
      <w:r w:rsidR="00EE5F3F">
        <w:rPr>
          <w:rFonts w:ascii="Arial" w:hAnsi="Arial" w:cs="Arial"/>
          <w:sz w:val="24"/>
          <w:szCs w:val="24"/>
        </w:rPr>
        <w:t>lıdır</w:t>
      </w:r>
      <w:r w:rsidRPr="003F451C">
        <w:rPr>
          <w:rFonts w:ascii="Arial" w:hAnsi="Arial" w:cs="Arial"/>
          <w:sz w:val="24"/>
          <w:szCs w:val="24"/>
        </w:rPr>
        <w:t>,</w:t>
      </w:r>
    </w:p>
    <w:p w:rsidR="005D7368" w:rsidRPr="003F451C" w:rsidRDefault="005D7368" w:rsidP="00A02A40">
      <w:pPr>
        <w:pStyle w:val="ListeParagraf"/>
        <w:spacing w:line="276" w:lineRule="auto"/>
        <w:jc w:val="both"/>
        <w:rPr>
          <w:rFonts w:ascii="Arial" w:hAnsi="Arial" w:cs="Arial"/>
          <w:sz w:val="24"/>
          <w:szCs w:val="24"/>
        </w:rPr>
      </w:pPr>
    </w:p>
    <w:p w:rsidR="005D7368" w:rsidRPr="003F451C" w:rsidRDefault="008755DA" w:rsidP="00A02A40">
      <w:pPr>
        <w:pStyle w:val="ListeParagraf"/>
        <w:numPr>
          <w:ilvl w:val="0"/>
          <w:numId w:val="10"/>
        </w:numPr>
        <w:spacing w:before="120" w:after="120" w:line="276" w:lineRule="auto"/>
        <w:jc w:val="both"/>
        <w:rPr>
          <w:rFonts w:ascii="Arial" w:hAnsi="Arial" w:cs="Arial"/>
          <w:sz w:val="24"/>
          <w:szCs w:val="24"/>
        </w:rPr>
      </w:pPr>
      <w:r w:rsidRPr="003F451C">
        <w:rPr>
          <w:rFonts w:ascii="Arial" w:hAnsi="Arial" w:cs="Arial"/>
          <w:sz w:val="24"/>
          <w:szCs w:val="24"/>
        </w:rPr>
        <w:t>Tüm engelli kişilerin bağımsız ve gizli oy kullanmaları için gerekli önlemlerin alınması ve bunun ilgili tüm maliyetlerin devlet tarafından karşılanması için yasal düzenleme yapılma</w:t>
      </w:r>
      <w:r w:rsidR="00DB561E">
        <w:rPr>
          <w:rFonts w:ascii="Arial" w:hAnsi="Arial" w:cs="Arial"/>
          <w:sz w:val="24"/>
          <w:szCs w:val="24"/>
        </w:rPr>
        <w:t>l</w:t>
      </w:r>
      <w:r w:rsidRPr="003F451C">
        <w:rPr>
          <w:rFonts w:ascii="Arial" w:hAnsi="Arial" w:cs="Arial"/>
          <w:sz w:val="24"/>
          <w:szCs w:val="24"/>
        </w:rPr>
        <w:t>ı</w:t>
      </w:r>
      <w:r w:rsidR="00DB561E">
        <w:rPr>
          <w:rFonts w:ascii="Arial" w:hAnsi="Arial" w:cs="Arial"/>
          <w:sz w:val="24"/>
          <w:szCs w:val="24"/>
        </w:rPr>
        <w:t>dır</w:t>
      </w:r>
      <w:r w:rsidRPr="003F451C">
        <w:rPr>
          <w:rFonts w:ascii="Arial" w:hAnsi="Arial" w:cs="Arial"/>
          <w:sz w:val="24"/>
          <w:szCs w:val="24"/>
        </w:rPr>
        <w:t>,</w:t>
      </w:r>
      <w:r w:rsidRPr="003F451C">
        <w:rPr>
          <w:rFonts w:ascii="Arial" w:hAnsi="Arial" w:cs="Arial"/>
          <w:sz w:val="24"/>
          <w:szCs w:val="24"/>
          <w:vertAlign w:val="superscript"/>
        </w:rPr>
        <w:footnoteReference w:id="23"/>
      </w:r>
      <w:r w:rsidRPr="003F451C">
        <w:rPr>
          <w:rFonts w:ascii="Arial" w:hAnsi="Arial" w:cs="Arial"/>
          <w:sz w:val="24"/>
          <w:szCs w:val="24"/>
          <w:vertAlign w:val="superscript"/>
        </w:rPr>
        <w:t xml:space="preserve"> </w:t>
      </w:r>
      <w:r w:rsidRPr="003F451C">
        <w:rPr>
          <w:rFonts w:ascii="Arial" w:hAnsi="Arial" w:cs="Arial"/>
          <w:sz w:val="24"/>
          <w:szCs w:val="24"/>
        </w:rPr>
        <w:t xml:space="preserve"> </w:t>
      </w:r>
    </w:p>
    <w:p w:rsidR="005D7368" w:rsidRPr="003F451C" w:rsidRDefault="005D7368" w:rsidP="00A02A40">
      <w:pPr>
        <w:pStyle w:val="ListeParagraf"/>
        <w:spacing w:line="276" w:lineRule="auto"/>
        <w:jc w:val="both"/>
        <w:rPr>
          <w:rFonts w:ascii="Arial" w:hAnsi="Arial" w:cs="Arial"/>
          <w:sz w:val="24"/>
          <w:szCs w:val="24"/>
        </w:rPr>
      </w:pPr>
    </w:p>
    <w:p w:rsidR="008755DA" w:rsidRPr="003F451C" w:rsidRDefault="008755DA" w:rsidP="00A02A40">
      <w:pPr>
        <w:pStyle w:val="ListeParagraf"/>
        <w:numPr>
          <w:ilvl w:val="0"/>
          <w:numId w:val="10"/>
        </w:numPr>
        <w:spacing w:before="120" w:after="120" w:line="276" w:lineRule="auto"/>
        <w:jc w:val="both"/>
        <w:rPr>
          <w:rFonts w:ascii="Arial" w:hAnsi="Arial" w:cs="Arial"/>
          <w:sz w:val="24"/>
          <w:szCs w:val="24"/>
        </w:rPr>
      </w:pPr>
      <w:r w:rsidRPr="003F451C">
        <w:rPr>
          <w:rFonts w:ascii="Arial" w:hAnsi="Arial" w:cs="Arial"/>
          <w:sz w:val="24"/>
          <w:szCs w:val="24"/>
        </w:rPr>
        <w:t>Yasalar gereğince YSK kararları</w:t>
      </w:r>
      <w:r w:rsidR="00327AF0">
        <w:rPr>
          <w:rFonts w:ascii="Arial" w:hAnsi="Arial" w:cs="Arial"/>
          <w:sz w:val="24"/>
          <w:szCs w:val="24"/>
        </w:rPr>
        <w:t>,</w:t>
      </w:r>
      <w:r w:rsidRPr="003F451C">
        <w:rPr>
          <w:rFonts w:ascii="Arial" w:hAnsi="Arial" w:cs="Arial"/>
          <w:sz w:val="24"/>
          <w:szCs w:val="24"/>
        </w:rPr>
        <w:t xml:space="preserve"> </w:t>
      </w:r>
      <w:r w:rsidR="00D2648A" w:rsidRPr="003F451C">
        <w:rPr>
          <w:rFonts w:ascii="Arial" w:hAnsi="Arial" w:cs="Arial"/>
          <w:sz w:val="24"/>
          <w:szCs w:val="24"/>
        </w:rPr>
        <w:t>Resmî</w:t>
      </w:r>
      <w:r w:rsidRPr="003F451C">
        <w:rPr>
          <w:rFonts w:ascii="Arial" w:hAnsi="Arial" w:cs="Arial"/>
          <w:sz w:val="24"/>
          <w:szCs w:val="24"/>
        </w:rPr>
        <w:t xml:space="preserve"> Gazete’de yayınlanmaktadır. Ancak </w:t>
      </w:r>
      <w:r w:rsidR="00002416" w:rsidRPr="003F451C">
        <w:rPr>
          <w:rFonts w:ascii="Arial" w:hAnsi="Arial" w:cs="Arial"/>
          <w:sz w:val="24"/>
          <w:szCs w:val="24"/>
        </w:rPr>
        <w:t>YSK,</w:t>
      </w:r>
      <w:r w:rsidRPr="003F451C">
        <w:rPr>
          <w:rFonts w:ascii="Arial" w:hAnsi="Arial" w:cs="Arial"/>
          <w:sz w:val="24"/>
          <w:szCs w:val="24"/>
        </w:rPr>
        <w:t xml:space="preserve"> tüm kararlarını </w:t>
      </w:r>
      <w:r w:rsidR="00D2648A" w:rsidRPr="003F451C">
        <w:rPr>
          <w:rFonts w:ascii="Arial" w:hAnsi="Arial" w:cs="Arial"/>
          <w:sz w:val="24"/>
          <w:szCs w:val="24"/>
        </w:rPr>
        <w:t>resmî</w:t>
      </w:r>
      <w:r w:rsidRPr="003F451C">
        <w:rPr>
          <w:rFonts w:ascii="Arial" w:hAnsi="Arial" w:cs="Arial"/>
          <w:sz w:val="24"/>
          <w:szCs w:val="24"/>
        </w:rPr>
        <w:t xml:space="preserve"> gazete yayınlamamakta </w:t>
      </w:r>
      <w:r w:rsidR="000913D4">
        <w:rPr>
          <w:rFonts w:ascii="Arial" w:hAnsi="Arial" w:cs="Arial"/>
          <w:sz w:val="24"/>
          <w:szCs w:val="24"/>
        </w:rPr>
        <w:t>ya da</w:t>
      </w:r>
      <w:r w:rsidRPr="003F451C">
        <w:rPr>
          <w:rFonts w:ascii="Arial" w:hAnsi="Arial" w:cs="Arial"/>
          <w:sz w:val="24"/>
          <w:szCs w:val="24"/>
        </w:rPr>
        <w:t xml:space="preserve"> web sitesinde ilan etmemektedir. Seçim süreçlerinde alınan tüm YSK kararların erişilebilir formatlarda kamuoyu ile paylaşılması için yasal düzenleme yapılma</w:t>
      </w:r>
      <w:r w:rsidR="00EF7109">
        <w:rPr>
          <w:rFonts w:ascii="Arial" w:hAnsi="Arial" w:cs="Arial"/>
          <w:sz w:val="24"/>
          <w:szCs w:val="24"/>
        </w:rPr>
        <w:t>lıdır,</w:t>
      </w:r>
    </w:p>
    <w:p w:rsidR="005D7368" w:rsidRPr="003F451C" w:rsidRDefault="005D7368" w:rsidP="00A02A40">
      <w:pPr>
        <w:pStyle w:val="ListeParagraf"/>
        <w:spacing w:line="276" w:lineRule="auto"/>
        <w:jc w:val="both"/>
        <w:rPr>
          <w:rFonts w:ascii="Arial" w:hAnsi="Arial" w:cs="Arial"/>
          <w:sz w:val="24"/>
          <w:szCs w:val="24"/>
        </w:rPr>
      </w:pPr>
    </w:p>
    <w:p w:rsidR="008755DA" w:rsidRPr="003F451C" w:rsidRDefault="008755DA" w:rsidP="00A02A40">
      <w:pPr>
        <w:pStyle w:val="ListeParagraf"/>
        <w:numPr>
          <w:ilvl w:val="0"/>
          <w:numId w:val="10"/>
        </w:numPr>
        <w:spacing w:before="120" w:after="120" w:line="276" w:lineRule="auto"/>
        <w:jc w:val="both"/>
        <w:rPr>
          <w:rFonts w:ascii="Arial" w:hAnsi="Arial" w:cs="Arial"/>
          <w:sz w:val="24"/>
          <w:szCs w:val="24"/>
        </w:rPr>
      </w:pPr>
      <w:r w:rsidRPr="003F451C">
        <w:rPr>
          <w:rFonts w:ascii="Arial" w:hAnsi="Arial" w:cs="Arial"/>
          <w:sz w:val="24"/>
          <w:szCs w:val="24"/>
        </w:rPr>
        <w:t>YSK yerel seçim gözlemcilerini seçimlerin izlemesi için akredite etmemektedir. Yerel gözlemcilerin seçim izlemesi akredite edilmesi konusunda yasal düzenleme yapılma</w:t>
      </w:r>
      <w:r w:rsidR="001903BC">
        <w:rPr>
          <w:rFonts w:ascii="Arial" w:hAnsi="Arial" w:cs="Arial"/>
          <w:sz w:val="24"/>
          <w:szCs w:val="24"/>
        </w:rPr>
        <w:t>lıdır</w:t>
      </w:r>
      <w:r w:rsidR="009A12CD" w:rsidRPr="003F451C">
        <w:rPr>
          <w:rFonts w:ascii="Arial" w:hAnsi="Arial" w:cs="Arial"/>
          <w:sz w:val="24"/>
          <w:szCs w:val="24"/>
        </w:rPr>
        <w:t>.</w:t>
      </w:r>
      <w:r w:rsidRPr="003F451C">
        <w:rPr>
          <w:rFonts w:ascii="Arial" w:hAnsi="Arial" w:cs="Arial"/>
          <w:sz w:val="24"/>
          <w:szCs w:val="24"/>
          <w:vertAlign w:val="superscript"/>
        </w:rPr>
        <w:footnoteReference w:id="24"/>
      </w:r>
    </w:p>
    <w:p w:rsidR="008755DA" w:rsidRPr="003F451C" w:rsidRDefault="008755DA" w:rsidP="00A02A40">
      <w:pPr>
        <w:spacing w:before="120" w:after="120" w:line="276" w:lineRule="auto"/>
        <w:jc w:val="both"/>
        <w:rPr>
          <w:rFonts w:ascii="Arial" w:hAnsi="Arial" w:cs="Arial"/>
          <w:sz w:val="24"/>
          <w:szCs w:val="24"/>
        </w:rPr>
      </w:pPr>
    </w:p>
    <w:p w:rsidR="008755DA" w:rsidRPr="003F451C" w:rsidRDefault="008755DA" w:rsidP="00A02A40">
      <w:pPr>
        <w:spacing w:before="120" w:after="120" w:line="276" w:lineRule="auto"/>
        <w:ind w:left="720"/>
        <w:jc w:val="both"/>
        <w:rPr>
          <w:rFonts w:ascii="Arial" w:hAnsi="Arial" w:cs="Arial"/>
          <w:sz w:val="24"/>
          <w:szCs w:val="24"/>
        </w:rPr>
      </w:pPr>
    </w:p>
    <w:p w:rsidR="008755DA" w:rsidRPr="003F451C" w:rsidRDefault="008755DA" w:rsidP="00A02A40">
      <w:pPr>
        <w:spacing w:before="120" w:after="120" w:line="276" w:lineRule="auto"/>
        <w:jc w:val="both"/>
        <w:rPr>
          <w:rFonts w:ascii="Arial" w:hAnsi="Arial" w:cs="Arial"/>
          <w:sz w:val="24"/>
          <w:szCs w:val="24"/>
        </w:rPr>
      </w:pPr>
      <w:r w:rsidRPr="003F451C">
        <w:rPr>
          <w:rFonts w:ascii="Arial" w:hAnsi="Arial" w:cs="Arial"/>
          <w:sz w:val="24"/>
          <w:szCs w:val="24"/>
        </w:rPr>
        <w:t xml:space="preserve"> </w:t>
      </w:r>
    </w:p>
    <w:p w:rsidR="008755DA" w:rsidRPr="003F451C" w:rsidRDefault="008755DA" w:rsidP="00A02A40">
      <w:pPr>
        <w:spacing w:line="276" w:lineRule="auto"/>
        <w:jc w:val="both"/>
        <w:rPr>
          <w:rFonts w:ascii="Arial" w:hAnsi="Arial" w:cs="Arial"/>
          <w:sz w:val="24"/>
          <w:szCs w:val="24"/>
        </w:rPr>
      </w:pPr>
    </w:p>
    <w:p w:rsidR="008755DA" w:rsidRPr="003F451C" w:rsidRDefault="008755DA" w:rsidP="00A02A40">
      <w:pPr>
        <w:spacing w:line="276" w:lineRule="auto"/>
        <w:jc w:val="both"/>
        <w:rPr>
          <w:rFonts w:ascii="Arial" w:hAnsi="Arial" w:cs="Arial"/>
          <w:sz w:val="24"/>
          <w:szCs w:val="24"/>
        </w:rPr>
      </w:pPr>
    </w:p>
    <w:p w:rsidR="00070BB4" w:rsidRPr="003F451C" w:rsidRDefault="00070BB4" w:rsidP="00A02A40">
      <w:pPr>
        <w:spacing w:line="276" w:lineRule="auto"/>
        <w:jc w:val="both"/>
        <w:rPr>
          <w:rFonts w:ascii="Arial" w:hAnsi="Arial" w:cs="Arial"/>
          <w:sz w:val="24"/>
          <w:szCs w:val="24"/>
        </w:rPr>
      </w:pPr>
    </w:p>
    <w:p w:rsidR="00D20575" w:rsidRPr="003F451C" w:rsidRDefault="00D20575" w:rsidP="00A02A40">
      <w:pPr>
        <w:spacing w:line="276" w:lineRule="auto"/>
        <w:jc w:val="both"/>
        <w:rPr>
          <w:rFonts w:ascii="Arial" w:hAnsi="Arial" w:cs="Arial"/>
          <w:sz w:val="24"/>
          <w:szCs w:val="24"/>
        </w:rPr>
      </w:pPr>
    </w:p>
    <w:sectPr w:rsidR="00D20575" w:rsidRPr="003F451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0A9" w:rsidRDefault="00D800A9" w:rsidP="0089657B">
      <w:pPr>
        <w:spacing w:after="0" w:line="240" w:lineRule="auto"/>
      </w:pPr>
      <w:r>
        <w:separator/>
      </w:r>
    </w:p>
  </w:endnote>
  <w:endnote w:type="continuationSeparator" w:id="0">
    <w:p w:rsidR="00D800A9" w:rsidRDefault="00D800A9" w:rsidP="00896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695942"/>
      <w:docPartObj>
        <w:docPartGallery w:val="Page Numbers (Bottom of Page)"/>
        <w:docPartUnique/>
      </w:docPartObj>
    </w:sdtPr>
    <w:sdtEndPr/>
    <w:sdtContent>
      <w:p w:rsidR="00CD713D" w:rsidRDefault="00CD713D">
        <w:pPr>
          <w:pStyle w:val="AltBilgi"/>
          <w:jc w:val="right"/>
        </w:pPr>
        <w:r>
          <w:fldChar w:fldCharType="begin"/>
        </w:r>
        <w:r>
          <w:instrText>PAGE   \* MERGEFORMAT</w:instrText>
        </w:r>
        <w:r>
          <w:fldChar w:fldCharType="separate"/>
        </w:r>
        <w:r w:rsidR="003A387E">
          <w:rPr>
            <w:noProof/>
          </w:rPr>
          <w:t>3</w:t>
        </w:r>
        <w:r>
          <w:fldChar w:fldCharType="end"/>
        </w:r>
      </w:p>
    </w:sdtContent>
  </w:sdt>
  <w:p w:rsidR="00CD713D" w:rsidRDefault="00CD713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0A9" w:rsidRDefault="00D800A9" w:rsidP="0089657B">
      <w:pPr>
        <w:spacing w:after="0" w:line="240" w:lineRule="auto"/>
      </w:pPr>
      <w:r>
        <w:separator/>
      </w:r>
    </w:p>
  </w:footnote>
  <w:footnote w:type="continuationSeparator" w:id="0">
    <w:p w:rsidR="00D800A9" w:rsidRDefault="00D800A9" w:rsidP="0089657B">
      <w:pPr>
        <w:spacing w:after="0" w:line="240" w:lineRule="auto"/>
      </w:pPr>
      <w:r>
        <w:continuationSeparator/>
      </w:r>
    </w:p>
  </w:footnote>
  <w:footnote w:id="1">
    <w:p w:rsidR="00730FFE" w:rsidRPr="003407B6" w:rsidRDefault="00730FFE" w:rsidP="00611F81">
      <w:pPr>
        <w:pStyle w:val="DipnotMetni"/>
        <w:spacing w:line="276" w:lineRule="auto"/>
        <w:rPr>
          <w:rFonts w:ascii="Arial" w:hAnsi="Arial" w:cs="Arial"/>
          <w:sz w:val="18"/>
          <w:szCs w:val="18"/>
        </w:rPr>
      </w:pPr>
      <w:r w:rsidRPr="003407B6">
        <w:rPr>
          <w:rStyle w:val="DipnotBavurusu"/>
          <w:rFonts w:ascii="Arial" w:hAnsi="Arial" w:cs="Arial"/>
          <w:sz w:val="18"/>
          <w:szCs w:val="18"/>
        </w:rPr>
        <w:footnoteRef/>
      </w:r>
      <w:r w:rsidRPr="003407B6">
        <w:rPr>
          <w:rFonts w:ascii="Arial" w:hAnsi="Arial" w:cs="Arial"/>
          <w:sz w:val="18"/>
          <w:szCs w:val="18"/>
        </w:rPr>
        <w:t xml:space="preserve"> BM Uluslararası Medeni ve Siyasal Haklar Sözleşmesi Md. 27, BM Uluslararası Ekonomik, Sosyal ve Kültür</w:t>
      </w:r>
      <w:r w:rsidR="004273AC" w:rsidRPr="003407B6">
        <w:rPr>
          <w:rFonts w:ascii="Arial" w:hAnsi="Arial" w:cs="Arial"/>
          <w:sz w:val="18"/>
          <w:szCs w:val="18"/>
        </w:rPr>
        <w:t>el Haklar Sözleşmesi Md. 13(3)-</w:t>
      </w:r>
      <w:r w:rsidRPr="003407B6">
        <w:rPr>
          <w:rFonts w:ascii="Arial" w:hAnsi="Arial" w:cs="Arial"/>
          <w:sz w:val="18"/>
          <w:szCs w:val="18"/>
        </w:rPr>
        <w:t>(4) ve BM Çocuk Hakları Sözleşmesi Md. 17, 29 ve 30’da etnik ve dini azınlıklara ilişkin maddelere çekinceler koyulmuştur.</w:t>
      </w:r>
    </w:p>
  </w:footnote>
  <w:footnote w:id="2">
    <w:p w:rsidR="00730FFE" w:rsidRPr="003407B6" w:rsidRDefault="00730FFE" w:rsidP="00611F81">
      <w:pPr>
        <w:pStyle w:val="DipnotMetni"/>
        <w:spacing w:line="276" w:lineRule="auto"/>
        <w:rPr>
          <w:rFonts w:ascii="Arial" w:hAnsi="Arial" w:cs="Arial"/>
          <w:sz w:val="18"/>
          <w:szCs w:val="18"/>
        </w:rPr>
      </w:pPr>
      <w:r w:rsidRPr="003407B6">
        <w:rPr>
          <w:rStyle w:val="DipnotBavurusu"/>
          <w:rFonts w:ascii="Arial" w:hAnsi="Arial" w:cs="Arial"/>
          <w:sz w:val="18"/>
          <w:szCs w:val="18"/>
        </w:rPr>
        <w:footnoteRef/>
      </w:r>
      <w:r w:rsidRPr="003407B6">
        <w:rPr>
          <w:rFonts w:ascii="Arial" w:hAnsi="Arial" w:cs="Arial"/>
          <w:sz w:val="18"/>
          <w:szCs w:val="18"/>
        </w:rPr>
        <w:t xml:space="preserve"> Anayasa’nın 10 Maddesi: “</w:t>
      </w:r>
      <w:r w:rsidRPr="003407B6">
        <w:rPr>
          <w:rFonts w:ascii="Arial" w:hAnsi="Arial" w:cs="Arial"/>
          <w:i/>
          <w:sz w:val="18"/>
          <w:szCs w:val="18"/>
        </w:rPr>
        <w:t>Herkes, dil, ırk, renk, cinsiyet, siyasi düşünce, felsefi inanç, din, mezhep ve benzeri sebeplerle ayırım gözetilmeksizin kanun önünde eşittir</w:t>
      </w:r>
      <w:r w:rsidRPr="003407B6">
        <w:rPr>
          <w:rFonts w:ascii="Arial" w:hAnsi="Arial" w:cs="Arial"/>
          <w:sz w:val="18"/>
          <w:szCs w:val="18"/>
        </w:rPr>
        <w:t>.”</w:t>
      </w:r>
    </w:p>
  </w:footnote>
  <w:footnote w:id="3">
    <w:p w:rsidR="00730FFE" w:rsidRPr="003407B6" w:rsidRDefault="00730FFE" w:rsidP="00611F81">
      <w:pPr>
        <w:pStyle w:val="DipnotMetni"/>
        <w:spacing w:line="276" w:lineRule="auto"/>
        <w:rPr>
          <w:rFonts w:ascii="Arial" w:hAnsi="Arial" w:cs="Arial"/>
          <w:sz w:val="18"/>
          <w:szCs w:val="18"/>
        </w:rPr>
      </w:pPr>
      <w:r w:rsidRPr="003407B6">
        <w:rPr>
          <w:rStyle w:val="DipnotBavurusu"/>
          <w:rFonts w:ascii="Arial" w:hAnsi="Arial" w:cs="Arial"/>
          <w:sz w:val="18"/>
          <w:szCs w:val="18"/>
        </w:rPr>
        <w:footnoteRef/>
      </w:r>
      <w:r w:rsidRPr="003407B6">
        <w:rPr>
          <w:rFonts w:ascii="Arial" w:hAnsi="Arial" w:cs="Arial"/>
          <w:sz w:val="18"/>
          <w:szCs w:val="18"/>
        </w:rPr>
        <w:t xml:space="preserve"> EPİ 2015 Tavsiyeleri, 148.16 (CZ – Çek Cumhuriyeti), 150.26 (NA – Namibya).</w:t>
      </w:r>
    </w:p>
  </w:footnote>
  <w:footnote w:id="4">
    <w:p w:rsidR="00730FFE" w:rsidRPr="003407B6" w:rsidRDefault="00730FFE" w:rsidP="00611F81">
      <w:pPr>
        <w:pStyle w:val="DipnotMetni"/>
        <w:spacing w:line="276" w:lineRule="auto"/>
        <w:rPr>
          <w:rFonts w:ascii="Arial" w:hAnsi="Arial" w:cs="Arial"/>
          <w:sz w:val="18"/>
          <w:szCs w:val="18"/>
        </w:rPr>
      </w:pPr>
      <w:r w:rsidRPr="003407B6">
        <w:rPr>
          <w:rStyle w:val="DipnotBavurusu"/>
          <w:rFonts w:ascii="Arial" w:hAnsi="Arial" w:cs="Arial"/>
          <w:sz w:val="18"/>
          <w:szCs w:val="18"/>
        </w:rPr>
        <w:footnoteRef/>
      </w:r>
      <w:r w:rsidRPr="003407B6">
        <w:rPr>
          <w:rFonts w:ascii="Arial" w:hAnsi="Arial" w:cs="Arial"/>
          <w:sz w:val="18"/>
          <w:szCs w:val="18"/>
        </w:rPr>
        <w:t xml:space="preserve"> İş Kanunu Md. </w:t>
      </w:r>
      <w:r w:rsidR="00DA11F3" w:rsidRPr="003407B6">
        <w:rPr>
          <w:rFonts w:ascii="Arial" w:hAnsi="Arial" w:cs="Arial"/>
          <w:sz w:val="18"/>
          <w:szCs w:val="18"/>
        </w:rPr>
        <w:t>5’te ayrımcılık</w:t>
      </w:r>
      <w:r w:rsidRPr="003407B6">
        <w:rPr>
          <w:rFonts w:ascii="Arial" w:hAnsi="Arial" w:cs="Arial"/>
          <w:sz w:val="18"/>
          <w:szCs w:val="18"/>
        </w:rPr>
        <w:t xml:space="preserve"> yasaklanmaktadır ancak madde işe alım sürecini kapsamamaktadır. Maddede ispat yükü güçlü delillerin varlı halinde yer değiştirmektedir.  </w:t>
      </w:r>
    </w:p>
  </w:footnote>
  <w:footnote w:id="5">
    <w:p w:rsidR="00730FFE" w:rsidRPr="003407B6" w:rsidRDefault="00730FFE" w:rsidP="00611F81">
      <w:pPr>
        <w:pStyle w:val="DipnotMetni"/>
        <w:spacing w:line="276" w:lineRule="auto"/>
        <w:rPr>
          <w:rFonts w:ascii="Arial" w:hAnsi="Arial" w:cs="Arial"/>
          <w:sz w:val="18"/>
          <w:szCs w:val="18"/>
        </w:rPr>
      </w:pPr>
      <w:r w:rsidRPr="003407B6">
        <w:rPr>
          <w:rStyle w:val="DipnotBavurusu"/>
          <w:rFonts w:ascii="Arial" w:hAnsi="Arial" w:cs="Arial"/>
          <w:sz w:val="18"/>
          <w:szCs w:val="18"/>
        </w:rPr>
        <w:footnoteRef/>
      </w:r>
      <w:r w:rsidRPr="003407B6">
        <w:rPr>
          <w:rFonts w:ascii="Arial" w:hAnsi="Arial" w:cs="Arial"/>
          <w:sz w:val="18"/>
          <w:szCs w:val="18"/>
        </w:rPr>
        <w:t xml:space="preserve"> Türk Ceza Kanunu</w:t>
      </w:r>
      <w:bookmarkStart w:id="0" w:name="_GoBack"/>
      <w:bookmarkEnd w:id="0"/>
    </w:p>
  </w:footnote>
  <w:footnote w:id="6">
    <w:p w:rsidR="00730FFE" w:rsidRPr="003407B6" w:rsidRDefault="00730FFE" w:rsidP="00611F81">
      <w:pPr>
        <w:pStyle w:val="DipnotMetni"/>
        <w:spacing w:line="276" w:lineRule="auto"/>
        <w:rPr>
          <w:rFonts w:ascii="Arial" w:hAnsi="Arial" w:cs="Arial"/>
          <w:sz w:val="18"/>
          <w:szCs w:val="18"/>
        </w:rPr>
      </w:pPr>
      <w:r w:rsidRPr="003407B6">
        <w:rPr>
          <w:rStyle w:val="DipnotBavurusu"/>
          <w:rFonts w:ascii="Arial" w:hAnsi="Arial" w:cs="Arial"/>
          <w:sz w:val="18"/>
          <w:szCs w:val="18"/>
        </w:rPr>
        <w:footnoteRef/>
      </w:r>
      <w:r w:rsidRPr="003407B6">
        <w:rPr>
          <w:rFonts w:ascii="Arial" w:hAnsi="Arial" w:cs="Arial"/>
          <w:sz w:val="18"/>
          <w:szCs w:val="18"/>
        </w:rPr>
        <w:t xml:space="preserve"> TCK Madde 122</w:t>
      </w:r>
      <w:r w:rsidR="00E31764" w:rsidRPr="003407B6">
        <w:rPr>
          <w:rFonts w:ascii="Arial" w:hAnsi="Arial" w:cs="Arial"/>
          <w:sz w:val="18"/>
          <w:szCs w:val="18"/>
        </w:rPr>
        <w:t xml:space="preserve">: </w:t>
      </w:r>
      <w:r w:rsidRPr="003407B6">
        <w:rPr>
          <w:rFonts w:ascii="Arial" w:hAnsi="Arial" w:cs="Arial"/>
          <w:sz w:val="18"/>
          <w:szCs w:val="18"/>
        </w:rPr>
        <w:t>Nefret ve Ayrımcılık</w:t>
      </w:r>
    </w:p>
    <w:p w:rsidR="00730FFE" w:rsidRPr="003407B6" w:rsidRDefault="00E31764" w:rsidP="00611F81">
      <w:pPr>
        <w:pStyle w:val="DipnotMetni"/>
        <w:spacing w:line="276" w:lineRule="auto"/>
        <w:rPr>
          <w:rFonts w:ascii="Arial" w:hAnsi="Arial" w:cs="Arial"/>
          <w:i/>
          <w:sz w:val="18"/>
          <w:szCs w:val="18"/>
        </w:rPr>
      </w:pPr>
      <w:r w:rsidRPr="003407B6">
        <w:rPr>
          <w:rFonts w:ascii="Arial" w:hAnsi="Arial" w:cs="Arial"/>
          <w:sz w:val="18"/>
          <w:szCs w:val="18"/>
        </w:rPr>
        <w:t>“</w:t>
      </w:r>
      <w:r w:rsidR="00730FFE" w:rsidRPr="003407B6">
        <w:rPr>
          <w:rFonts w:ascii="Arial" w:hAnsi="Arial" w:cs="Arial"/>
          <w:i/>
          <w:sz w:val="18"/>
          <w:szCs w:val="18"/>
        </w:rPr>
        <w:t>Dil, ırk, milliyet, renk, cinsiyet, engellilik, siyasi düşünce, felsefi inanç, din veya mezhep farklılığından kaynaklanan nefret nedeniyle;</w:t>
      </w:r>
    </w:p>
    <w:p w:rsidR="00730FFE" w:rsidRPr="003407B6" w:rsidRDefault="00730FFE" w:rsidP="00611F81">
      <w:pPr>
        <w:pStyle w:val="DipnotMetni"/>
        <w:spacing w:line="276" w:lineRule="auto"/>
        <w:rPr>
          <w:rFonts w:ascii="Arial" w:hAnsi="Arial" w:cs="Arial"/>
          <w:i/>
          <w:sz w:val="18"/>
          <w:szCs w:val="18"/>
        </w:rPr>
      </w:pPr>
      <w:r w:rsidRPr="003407B6">
        <w:rPr>
          <w:rFonts w:ascii="Arial" w:hAnsi="Arial" w:cs="Arial"/>
          <w:i/>
          <w:sz w:val="18"/>
          <w:szCs w:val="18"/>
        </w:rPr>
        <w:t>a) Bir kişiye kamuya arz edilmiş olan bir taşınır veya taşınmaz malın satılmasını, devrini veya kiraya verilmesini,</w:t>
      </w:r>
    </w:p>
    <w:p w:rsidR="00730FFE" w:rsidRPr="003407B6" w:rsidRDefault="00730FFE" w:rsidP="00611F81">
      <w:pPr>
        <w:pStyle w:val="DipnotMetni"/>
        <w:spacing w:line="276" w:lineRule="auto"/>
        <w:rPr>
          <w:rFonts w:ascii="Arial" w:hAnsi="Arial" w:cs="Arial"/>
          <w:i/>
          <w:sz w:val="18"/>
          <w:szCs w:val="18"/>
        </w:rPr>
      </w:pPr>
      <w:r w:rsidRPr="003407B6">
        <w:rPr>
          <w:rFonts w:ascii="Arial" w:hAnsi="Arial" w:cs="Arial"/>
          <w:i/>
          <w:sz w:val="18"/>
          <w:szCs w:val="18"/>
        </w:rPr>
        <w:t>b) Bir kişinin kamuya arz edilmiş belli bir hizmetten yararlanmasını,</w:t>
      </w:r>
    </w:p>
    <w:p w:rsidR="00730FFE" w:rsidRPr="003407B6" w:rsidRDefault="00730FFE" w:rsidP="00611F81">
      <w:pPr>
        <w:pStyle w:val="DipnotMetni"/>
        <w:spacing w:line="276" w:lineRule="auto"/>
        <w:rPr>
          <w:rFonts w:ascii="Arial" w:hAnsi="Arial" w:cs="Arial"/>
          <w:i/>
          <w:sz w:val="18"/>
          <w:szCs w:val="18"/>
        </w:rPr>
      </w:pPr>
      <w:r w:rsidRPr="003407B6">
        <w:rPr>
          <w:rFonts w:ascii="Arial" w:hAnsi="Arial" w:cs="Arial"/>
          <w:i/>
          <w:sz w:val="18"/>
          <w:szCs w:val="18"/>
        </w:rPr>
        <w:t>c) Bir kişinin işe alınmasını,</w:t>
      </w:r>
    </w:p>
    <w:p w:rsidR="00730FFE" w:rsidRPr="003407B6" w:rsidRDefault="00730FFE" w:rsidP="00611F81">
      <w:pPr>
        <w:pStyle w:val="DipnotMetni"/>
        <w:spacing w:line="276" w:lineRule="auto"/>
        <w:rPr>
          <w:rFonts w:ascii="Arial" w:hAnsi="Arial" w:cs="Arial"/>
          <w:sz w:val="18"/>
          <w:szCs w:val="18"/>
        </w:rPr>
      </w:pPr>
      <w:r w:rsidRPr="003407B6">
        <w:rPr>
          <w:rFonts w:ascii="Arial" w:hAnsi="Arial" w:cs="Arial"/>
          <w:i/>
          <w:sz w:val="18"/>
          <w:szCs w:val="18"/>
        </w:rPr>
        <w:t>d) Bir kişinin olağan bir ekonomik etkinlikte bulunmasını, engelleyen kimse, bir yıldan üç yıla kadar hapis cezası ile cezalandırılır</w:t>
      </w:r>
      <w:r w:rsidRPr="003407B6">
        <w:rPr>
          <w:rFonts w:ascii="Arial" w:hAnsi="Arial" w:cs="Arial"/>
          <w:sz w:val="18"/>
          <w:szCs w:val="18"/>
        </w:rPr>
        <w:t>.</w:t>
      </w:r>
      <w:r w:rsidR="00E31764" w:rsidRPr="003407B6">
        <w:rPr>
          <w:rFonts w:ascii="Arial" w:hAnsi="Arial" w:cs="Arial"/>
          <w:sz w:val="18"/>
          <w:szCs w:val="18"/>
        </w:rPr>
        <w:t>”</w:t>
      </w:r>
    </w:p>
  </w:footnote>
  <w:footnote w:id="7">
    <w:p w:rsidR="00730FFE" w:rsidRPr="003407B6" w:rsidRDefault="00730FFE" w:rsidP="00611F81">
      <w:pPr>
        <w:pStyle w:val="DipnotMetni"/>
        <w:spacing w:line="276" w:lineRule="auto"/>
        <w:rPr>
          <w:rFonts w:ascii="Arial" w:hAnsi="Arial" w:cs="Arial"/>
          <w:sz w:val="18"/>
          <w:szCs w:val="18"/>
        </w:rPr>
      </w:pPr>
      <w:r w:rsidRPr="003407B6">
        <w:rPr>
          <w:rStyle w:val="DipnotBavurusu"/>
          <w:rFonts w:ascii="Arial" w:hAnsi="Arial" w:cs="Arial"/>
          <w:sz w:val="18"/>
          <w:szCs w:val="18"/>
        </w:rPr>
        <w:footnoteRef/>
      </w:r>
      <w:r w:rsidRPr="003407B6">
        <w:rPr>
          <w:rFonts w:ascii="Arial" w:hAnsi="Arial" w:cs="Arial"/>
          <w:sz w:val="18"/>
          <w:szCs w:val="18"/>
        </w:rPr>
        <w:t xml:space="preserve"> Ulusal önleme mekanizması olarak kurulan Türkiye İnsan Hakları ve Eşitlik Kurumu</w:t>
      </w:r>
    </w:p>
  </w:footnote>
  <w:footnote w:id="8">
    <w:p w:rsidR="00730FFE" w:rsidRPr="003407B6" w:rsidRDefault="00730FFE" w:rsidP="00611F81">
      <w:pPr>
        <w:pStyle w:val="DipnotMetni"/>
        <w:spacing w:line="276" w:lineRule="auto"/>
        <w:rPr>
          <w:rFonts w:ascii="Arial" w:hAnsi="Arial" w:cs="Arial"/>
          <w:sz w:val="18"/>
          <w:szCs w:val="18"/>
        </w:rPr>
      </w:pPr>
      <w:r w:rsidRPr="003407B6">
        <w:rPr>
          <w:rStyle w:val="DipnotBavurusu"/>
          <w:rFonts w:ascii="Arial" w:hAnsi="Arial" w:cs="Arial"/>
          <w:sz w:val="18"/>
          <w:szCs w:val="18"/>
        </w:rPr>
        <w:footnoteRef/>
      </w:r>
      <w:r w:rsidRPr="003407B6">
        <w:rPr>
          <w:rFonts w:ascii="Arial" w:hAnsi="Arial" w:cs="Arial"/>
          <w:sz w:val="18"/>
          <w:szCs w:val="18"/>
        </w:rPr>
        <w:t xml:space="preserve"> Eşit Haklar İçin İzleme Derneği, “Irk, Etnik Köken, Din veya İnanç Temelli </w:t>
      </w:r>
      <w:r w:rsidR="003F451C" w:rsidRPr="003407B6">
        <w:rPr>
          <w:rFonts w:ascii="Arial" w:hAnsi="Arial" w:cs="Arial"/>
          <w:sz w:val="18"/>
          <w:szCs w:val="18"/>
        </w:rPr>
        <w:t>Ayrımcılık</w:t>
      </w:r>
      <w:r w:rsidRPr="003407B6">
        <w:rPr>
          <w:rFonts w:ascii="Arial" w:hAnsi="Arial" w:cs="Arial"/>
          <w:sz w:val="18"/>
          <w:szCs w:val="18"/>
        </w:rPr>
        <w:t xml:space="preserve"> İzleme Raporu” (2018).</w:t>
      </w:r>
    </w:p>
  </w:footnote>
  <w:footnote w:id="9">
    <w:p w:rsidR="00730FFE" w:rsidRPr="003407B6" w:rsidRDefault="00730FFE" w:rsidP="00611F81">
      <w:pPr>
        <w:pStyle w:val="DipnotMetni"/>
        <w:spacing w:line="276" w:lineRule="auto"/>
        <w:rPr>
          <w:rFonts w:ascii="Arial" w:hAnsi="Arial" w:cs="Arial"/>
          <w:sz w:val="18"/>
          <w:szCs w:val="18"/>
        </w:rPr>
      </w:pPr>
      <w:r w:rsidRPr="003407B6">
        <w:rPr>
          <w:rStyle w:val="DipnotBavurusu"/>
          <w:rFonts w:ascii="Arial" w:hAnsi="Arial" w:cs="Arial"/>
          <w:sz w:val="18"/>
          <w:szCs w:val="18"/>
        </w:rPr>
        <w:footnoteRef/>
      </w:r>
      <w:r w:rsidRPr="003407B6">
        <w:rPr>
          <w:rFonts w:ascii="Arial" w:hAnsi="Arial" w:cs="Arial"/>
          <w:sz w:val="18"/>
          <w:szCs w:val="18"/>
        </w:rPr>
        <w:t xml:space="preserve"> EPİ 2015 Tavsiyeleri, 149.5 (GR – Yunanistan), 150.35 (AU – Avustralya), </w:t>
      </w:r>
    </w:p>
  </w:footnote>
  <w:footnote w:id="10">
    <w:p w:rsidR="00142FD8" w:rsidRPr="003407B6" w:rsidRDefault="00142FD8" w:rsidP="00611F81">
      <w:pPr>
        <w:pStyle w:val="NormalWeb"/>
        <w:spacing w:before="0" w:beforeAutospacing="0" w:after="0" w:afterAutospacing="0" w:line="276" w:lineRule="auto"/>
        <w:rPr>
          <w:rFonts w:ascii="Arial" w:hAnsi="Arial" w:cs="Arial"/>
          <w:sz w:val="18"/>
          <w:szCs w:val="18"/>
        </w:rPr>
      </w:pPr>
      <w:r w:rsidRPr="003407B6">
        <w:rPr>
          <w:rStyle w:val="DipnotBavurusu"/>
          <w:rFonts w:ascii="Arial" w:hAnsi="Arial" w:cs="Arial"/>
          <w:sz w:val="18"/>
          <w:szCs w:val="18"/>
        </w:rPr>
        <w:footnoteRef/>
      </w:r>
      <w:r w:rsidRPr="003407B6">
        <w:rPr>
          <w:rFonts w:ascii="Arial" w:hAnsi="Arial" w:cs="Arial"/>
          <w:sz w:val="18"/>
          <w:szCs w:val="18"/>
        </w:rPr>
        <w:t xml:space="preserve"> </w:t>
      </w:r>
      <w:r w:rsidR="00454A7B" w:rsidRPr="003407B6">
        <w:rPr>
          <w:rFonts w:ascii="Arial" w:hAnsi="Arial" w:cs="Arial"/>
          <w:sz w:val="18"/>
          <w:szCs w:val="18"/>
        </w:rPr>
        <w:t xml:space="preserve">Anayasa Md. 34: </w:t>
      </w:r>
      <w:r w:rsidRPr="003407B6">
        <w:rPr>
          <w:rFonts w:ascii="Arial" w:hAnsi="Arial" w:cs="Arial"/>
          <w:sz w:val="18"/>
          <w:szCs w:val="18"/>
        </w:rPr>
        <w:t>“</w:t>
      </w:r>
      <w:r w:rsidRPr="003407B6">
        <w:rPr>
          <w:rFonts w:ascii="Arial" w:hAnsi="Arial" w:cs="Arial"/>
          <w:i/>
          <w:iCs/>
          <w:sz w:val="18"/>
          <w:szCs w:val="18"/>
        </w:rPr>
        <w:t xml:space="preserve">Herkes, </w:t>
      </w:r>
      <w:r w:rsidR="00DA11F3" w:rsidRPr="003407B6">
        <w:rPr>
          <w:rFonts w:ascii="Arial" w:hAnsi="Arial" w:cs="Arial"/>
          <w:i/>
          <w:iCs/>
          <w:sz w:val="18"/>
          <w:szCs w:val="18"/>
        </w:rPr>
        <w:t>önceden</w:t>
      </w:r>
      <w:r w:rsidRPr="003407B6">
        <w:rPr>
          <w:rFonts w:ascii="Arial" w:hAnsi="Arial" w:cs="Arial"/>
          <w:i/>
          <w:iCs/>
          <w:sz w:val="18"/>
          <w:szCs w:val="18"/>
        </w:rPr>
        <w:t xml:space="preserve"> izin almadan, silahsız ve saldırısız toplantı ve </w:t>
      </w:r>
      <w:r w:rsidR="00DA11F3" w:rsidRPr="003407B6">
        <w:rPr>
          <w:rFonts w:ascii="Arial" w:hAnsi="Arial" w:cs="Arial"/>
          <w:i/>
          <w:iCs/>
          <w:sz w:val="18"/>
          <w:szCs w:val="18"/>
        </w:rPr>
        <w:t xml:space="preserve">gösteri yürüyüşü düzenleme </w:t>
      </w:r>
      <w:r w:rsidRPr="003407B6">
        <w:rPr>
          <w:rFonts w:ascii="Arial" w:hAnsi="Arial" w:cs="Arial"/>
          <w:i/>
          <w:iCs/>
          <w:sz w:val="18"/>
          <w:szCs w:val="18"/>
        </w:rPr>
        <w:t xml:space="preserve">hakkına sahiptir. Toplantı ve </w:t>
      </w:r>
      <w:r w:rsidR="0042431F" w:rsidRPr="003407B6">
        <w:rPr>
          <w:rFonts w:ascii="Arial" w:hAnsi="Arial" w:cs="Arial"/>
          <w:i/>
          <w:iCs/>
          <w:sz w:val="18"/>
          <w:szCs w:val="18"/>
        </w:rPr>
        <w:t>gösteri</w:t>
      </w:r>
      <w:r w:rsidRPr="003407B6">
        <w:rPr>
          <w:rFonts w:ascii="Arial" w:hAnsi="Arial" w:cs="Arial"/>
          <w:i/>
          <w:iCs/>
          <w:sz w:val="18"/>
          <w:szCs w:val="18"/>
        </w:rPr>
        <w:t xml:space="preserve"> </w:t>
      </w:r>
      <w:r w:rsidR="0042431F" w:rsidRPr="003407B6">
        <w:rPr>
          <w:rFonts w:ascii="Arial" w:hAnsi="Arial" w:cs="Arial"/>
          <w:i/>
          <w:iCs/>
          <w:sz w:val="18"/>
          <w:szCs w:val="18"/>
        </w:rPr>
        <w:t xml:space="preserve">yürüyüşü </w:t>
      </w:r>
      <w:r w:rsidRPr="003407B6">
        <w:rPr>
          <w:rFonts w:ascii="Arial" w:hAnsi="Arial" w:cs="Arial"/>
          <w:i/>
          <w:iCs/>
          <w:sz w:val="18"/>
          <w:szCs w:val="18"/>
        </w:rPr>
        <w:t xml:space="preserve">hakkı ancak, millî </w:t>
      </w:r>
      <w:r w:rsidR="00FB3507" w:rsidRPr="003407B6">
        <w:rPr>
          <w:rFonts w:ascii="Arial" w:hAnsi="Arial" w:cs="Arial"/>
          <w:i/>
          <w:iCs/>
          <w:sz w:val="18"/>
          <w:szCs w:val="18"/>
        </w:rPr>
        <w:t>güvenlik</w:t>
      </w:r>
      <w:r w:rsidRPr="003407B6">
        <w:rPr>
          <w:rFonts w:ascii="Arial" w:hAnsi="Arial" w:cs="Arial"/>
          <w:i/>
          <w:iCs/>
          <w:sz w:val="18"/>
          <w:szCs w:val="18"/>
        </w:rPr>
        <w:t xml:space="preserve">, kamu </w:t>
      </w:r>
      <w:r w:rsidR="00FB3507" w:rsidRPr="003407B6">
        <w:rPr>
          <w:rFonts w:ascii="Arial" w:hAnsi="Arial" w:cs="Arial"/>
          <w:i/>
          <w:iCs/>
          <w:sz w:val="18"/>
          <w:szCs w:val="18"/>
        </w:rPr>
        <w:t>düzeni</w:t>
      </w:r>
      <w:r w:rsidRPr="003407B6">
        <w:rPr>
          <w:rFonts w:ascii="Arial" w:hAnsi="Arial" w:cs="Arial"/>
          <w:i/>
          <w:iCs/>
          <w:sz w:val="18"/>
          <w:szCs w:val="18"/>
        </w:rPr>
        <w:t xml:space="preserve">, </w:t>
      </w:r>
      <w:r w:rsidR="00FB3507" w:rsidRPr="003407B6">
        <w:rPr>
          <w:rFonts w:ascii="Arial" w:hAnsi="Arial" w:cs="Arial"/>
          <w:i/>
          <w:iCs/>
          <w:sz w:val="18"/>
          <w:szCs w:val="18"/>
        </w:rPr>
        <w:t>suç</w:t>
      </w:r>
      <w:r w:rsidRPr="003407B6">
        <w:rPr>
          <w:rFonts w:ascii="Arial" w:hAnsi="Arial" w:cs="Arial"/>
          <w:i/>
          <w:iCs/>
          <w:sz w:val="18"/>
          <w:szCs w:val="18"/>
        </w:rPr>
        <w:t xml:space="preserve">̧ </w:t>
      </w:r>
      <w:r w:rsidR="00FB3507" w:rsidRPr="003407B6">
        <w:rPr>
          <w:rFonts w:ascii="Arial" w:hAnsi="Arial" w:cs="Arial"/>
          <w:i/>
          <w:iCs/>
          <w:sz w:val="18"/>
          <w:szCs w:val="18"/>
        </w:rPr>
        <w:t>işlenmesinin</w:t>
      </w:r>
      <w:r w:rsidRPr="003407B6">
        <w:rPr>
          <w:rFonts w:ascii="Arial" w:hAnsi="Arial" w:cs="Arial"/>
          <w:i/>
          <w:iCs/>
          <w:sz w:val="18"/>
          <w:szCs w:val="18"/>
        </w:rPr>
        <w:t xml:space="preserve"> </w:t>
      </w:r>
      <w:r w:rsidR="00FB3507" w:rsidRPr="003407B6">
        <w:rPr>
          <w:rFonts w:ascii="Arial" w:hAnsi="Arial" w:cs="Arial"/>
          <w:i/>
          <w:iCs/>
          <w:sz w:val="18"/>
          <w:szCs w:val="18"/>
        </w:rPr>
        <w:t>önlenmesi</w:t>
      </w:r>
      <w:r w:rsidRPr="003407B6">
        <w:rPr>
          <w:rFonts w:ascii="Arial" w:hAnsi="Arial" w:cs="Arial"/>
          <w:i/>
          <w:iCs/>
          <w:sz w:val="18"/>
          <w:szCs w:val="18"/>
        </w:rPr>
        <w:t xml:space="preserve">, genel </w:t>
      </w:r>
      <w:r w:rsidR="00FB3507" w:rsidRPr="003407B6">
        <w:rPr>
          <w:rFonts w:ascii="Arial" w:hAnsi="Arial" w:cs="Arial"/>
          <w:i/>
          <w:iCs/>
          <w:sz w:val="18"/>
          <w:szCs w:val="18"/>
        </w:rPr>
        <w:t>sağlığın</w:t>
      </w:r>
      <w:r w:rsidRPr="003407B6">
        <w:rPr>
          <w:rFonts w:ascii="Arial" w:hAnsi="Arial" w:cs="Arial"/>
          <w:i/>
          <w:iCs/>
          <w:sz w:val="18"/>
          <w:szCs w:val="18"/>
        </w:rPr>
        <w:t xml:space="preserve"> ve genel </w:t>
      </w:r>
      <w:r w:rsidR="00FB3507" w:rsidRPr="003407B6">
        <w:rPr>
          <w:rFonts w:ascii="Arial" w:hAnsi="Arial" w:cs="Arial"/>
          <w:i/>
          <w:iCs/>
          <w:sz w:val="18"/>
          <w:szCs w:val="18"/>
        </w:rPr>
        <w:t>ahlakın</w:t>
      </w:r>
      <w:r w:rsidRPr="003407B6">
        <w:rPr>
          <w:rFonts w:ascii="Arial" w:hAnsi="Arial" w:cs="Arial"/>
          <w:i/>
          <w:iCs/>
          <w:sz w:val="18"/>
          <w:szCs w:val="18"/>
        </w:rPr>
        <w:t xml:space="preserve"> veya </w:t>
      </w:r>
      <w:r w:rsidR="00FB3507" w:rsidRPr="003407B6">
        <w:rPr>
          <w:rFonts w:ascii="Arial" w:hAnsi="Arial" w:cs="Arial"/>
          <w:i/>
          <w:iCs/>
          <w:sz w:val="18"/>
          <w:szCs w:val="18"/>
        </w:rPr>
        <w:t>başkalarının</w:t>
      </w:r>
      <w:r w:rsidRPr="003407B6">
        <w:rPr>
          <w:rFonts w:ascii="Arial" w:hAnsi="Arial" w:cs="Arial"/>
          <w:i/>
          <w:iCs/>
          <w:sz w:val="18"/>
          <w:szCs w:val="18"/>
        </w:rPr>
        <w:t xml:space="preserve"> hak ve</w:t>
      </w:r>
      <w:r w:rsidR="00FB3507" w:rsidRPr="003407B6">
        <w:rPr>
          <w:rFonts w:ascii="Arial" w:hAnsi="Arial" w:cs="Arial"/>
          <w:i/>
          <w:iCs/>
          <w:sz w:val="18"/>
          <w:szCs w:val="18"/>
        </w:rPr>
        <w:t xml:space="preserve"> özgürlüklerinin </w:t>
      </w:r>
      <w:r w:rsidRPr="003407B6">
        <w:rPr>
          <w:rFonts w:ascii="Arial" w:hAnsi="Arial" w:cs="Arial"/>
          <w:i/>
          <w:iCs/>
          <w:sz w:val="18"/>
          <w:szCs w:val="18"/>
        </w:rPr>
        <w:t>korunması amacıyla ve kanunla sınırlanabilir.</w:t>
      </w:r>
      <w:r w:rsidRPr="003407B6">
        <w:rPr>
          <w:rFonts w:ascii="Arial" w:hAnsi="Arial" w:cs="Arial"/>
          <w:sz w:val="18"/>
          <w:szCs w:val="18"/>
        </w:rPr>
        <w:t xml:space="preserve">” </w:t>
      </w:r>
    </w:p>
  </w:footnote>
  <w:footnote w:id="11">
    <w:p w:rsidR="00142FD8" w:rsidRPr="003407B6" w:rsidRDefault="00142FD8" w:rsidP="00611F81">
      <w:pPr>
        <w:pStyle w:val="DipnotMetni"/>
        <w:spacing w:line="276" w:lineRule="auto"/>
        <w:rPr>
          <w:rFonts w:ascii="Arial" w:hAnsi="Arial" w:cs="Arial"/>
          <w:sz w:val="18"/>
          <w:szCs w:val="18"/>
        </w:rPr>
      </w:pPr>
      <w:r w:rsidRPr="003407B6">
        <w:rPr>
          <w:rStyle w:val="DipnotBavurusu"/>
          <w:rFonts w:ascii="Arial" w:hAnsi="Arial" w:cs="Arial"/>
          <w:sz w:val="18"/>
          <w:szCs w:val="18"/>
        </w:rPr>
        <w:footnoteRef/>
      </w:r>
      <w:r w:rsidRPr="003407B6">
        <w:rPr>
          <w:rFonts w:ascii="Arial" w:hAnsi="Arial" w:cs="Arial"/>
          <w:sz w:val="18"/>
          <w:szCs w:val="18"/>
        </w:rPr>
        <w:t xml:space="preserve"> 2911</w:t>
      </w:r>
      <w:r w:rsidR="00DE3F06" w:rsidRPr="003407B6">
        <w:rPr>
          <w:rFonts w:ascii="Arial" w:hAnsi="Arial" w:cs="Arial"/>
          <w:sz w:val="18"/>
          <w:szCs w:val="18"/>
        </w:rPr>
        <w:t xml:space="preserve"> </w:t>
      </w:r>
      <w:r w:rsidR="00C71E34" w:rsidRPr="003407B6">
        <w:rPr>
          <w:rFonts w:ascii="Arial" w:hAnsi="Arial" w:cs="Arial"/>
          <w:sz w:val="18"/>
          <w:szCs w:val="18"/>
        </w:rPr>
        <w:t>sayılı</w:t>
      </w:r>
      <w:r w:rsidRPr="003407B6">
        <w:rPr>
          <w:rFonts w:ascii="Arial" w:hAnsi="Arial" w:cs="Arial"/>
          <w:sz w:val="18"/>
          <w:szCs w:val="18"/>
        </w:rPr>
        <w:t xml:space="preserve"> Toplantı ve </w:t>
      </w:r>
      <w:r w:rsidR="007A5C62" w:rsidRPr="003407B6">
        <w:rPr>
          <w:rFonts w:ascii="Arial" w:hAnsi="Arial" w:cs="Arial"/>
          <w:sz w:val="18"/>
          <w:szCs w:val="18"/>
        </w:rPr>
        <w:t>Gösteri Yürüyüşleri Kanunu</w:t>
      </w:r>
      <w:r w:rsidRPr="003407B6">
        <w:rPr>
          <w:rFonts w:ascii="Arial" w:hAnsi="Arial" w:cs="Arial"/>
          <w:sz w:val="18"/>
          <w:szCs w:val="18"/>
        </w:rPr>
        <w:t xml:space="preserve"> </w:t>
      </w:r>
    </w:p>
  </w:footnote>
  <w:footnote w:id="12">
    <w:p w:rsidR="004E6550" w:rsidRPr="003407B6" w:rsidRDefault="004E6550" w:rsidP="00611F81">
      <w:pPr>
        <w:pStyle w:val="DipnotMetni"/>
        <w:spacing w:line="276" w:lineRule="auto"/>
        <w:rPr>
          <w:rFonts w:ascii="Arial" w:hAnsi="Arial" w:cs="Arial"/>
          <w:sz w:val="18"/>
          <w:szCs w:val="18"/>
        </w:rPr>
      </w:pPr>
      <w:r w:rsidRPr="003407B6">
        <w:rPr>
          <w:rStyle w:val="DipnotBavurusu"/>
          <w:rFonts w:ascii="Arial" w:hAnsi="Arial" w:cs="Arial"/>
          <w:sz w:val="18"/>
          <w:szCs w:val="18"/>
        </w:rPr>
        <w:footnoteRef/>
      </w:r>
      <w:r w:rsidRPr="003407B6">
        <w:rPr>
          <w:rFonts w:ascii="Arial" w:hAnsi="Arial" w:cs="Arial"/>
          <w:sz w:val="18"/>
          <w:szCs w:val="18"/>
        </w:rPr>
        <w:t xml:space="preserve"> </w:t>
      </w:r>
      <w:r w:rsidR="003654E0" w:rsidRPr="003407B6">
        <w:rPr>
          <w:rFonts w:ascii="Arial" w:hAnsi="Arial" w:cs="Arial"/>
          <w:sz w:val="18"/>
          <w:szCs w:val="18"/>
        </w:rPr>
        <w:t xml:space="preserve">5442 </w:t>
      </w:r>
      <w:r w:rsidR="00C71E34" w:rsidRPr="003407B6">
        <w:rPr>
          <w:rFonts w:ascii="Arial" w:hAnsi="Arial" w:cs="Arial"/>
          <w:sz w:val="18"/>
          <w:szCs w:val="18"/>
        </w:rPr>
        <w:t>sayılı</w:t>
      </w:r>
      <w:r w:rsidR="00BA5A28" w:rsidRPr="003407B6">
        <w:rPr>
          <w:rFonts w:ascii="Arial" w:hAnsi="Arial" w:cs="Arial"/>
          <w:sz w:val="18"/>
          <w:szCs w:val="18"/>
        </w:rPr>
        <w:t xml:space="preserve"> </w:t>
      </w:r>
      <w:r w:rsidR="003654E0" w:rsidRPr="003407B6">
        <w:rPr>
          <w:rFonts w:ascii="Arial" w:hAnsi="Arial" w:cs="Arial"/>
          <w:sz w:val="18"/>
          <w:szCs w:val="18"/>
        </w:rPr>
        <w:t xml:space="preserve">İl İdaresi Kanunu, 2559 </w:t>
      </w:r>
      <w:r w:rsidR="00C71E34" w:rsidRPr="003407B6">
        <w:rPr>
          <w:rFonts w:ascii="Arial" w:hAnsi="Arial" w:cs="Arial"/>
          <w:sz w:val="18"/>
          <w:szCs w:val="18"/>
        </w:rPr>
        <w:t xml:space="preserve">sayılı </w:t>
      </w:r>
      <w:r w:rsidR="003654E0" w:rsidRPr="003407B6">
        <w:rPr>
          <w:rFonts w:ascii="Arial" w:hAnsi="Arial" w:cs="Arial"/>
          <w:sz w:val="18"/>
          <w:szCs w:val="18"/>
        </w:rPr>
        <w:t xml:space="preserve">Polis Vazife ve </w:t>
      </w:r>
      <w:r w:rsidR="007810FE" w:rsidRPr="003407B6">
        <w:rPr>
          <w:rFonts w:ascii="Arial" w:hAnsi="Arial" w:cs="Arial"/>
          <w:sz w:val="18"/>
          <w:szCs w:val="18"/>
        </w:rPr>
        <w:t>Salahiyetleri</w:t>
      </w:r>
      <w:r w:rsidR="003654E0" w:rsidRPr="003407B6">
        <w:rPr>
          <w:rFonts w:ascii="Arial" w:hAnsi="Arial" w:cs="Arial"/>
          <w:sz w:val="18"/>
          <w:szCs w:val="18"/>
        </w:rPr>
        <w:t xml:space="preserve"> Kanunu, 2935 </w:t>
      </w:r>
      <w:r w:rsidR="00C71E34" w:rsidRPr="003407B6">
        <w:rPr>
          <w:rFonts w:ascii="Arial" w:hAnsi="Arial" w:cs="Arial"/>
          <w:sz w:val="18"/>
          <w:szCs w:val="18"/>
        </w:rPr>
        <w:t xml:space="preserve">sayılı </w:t>
      </w:r>
      <w:r w:rsidR="007810FE" w:rsidRPr="003407B6">
        <w:rPr>
          <w:rFonts w:ascii="Arial" w:hAnsi="Arial" w:cs="Arial"/>
          <w:sz w:val="18"/>
          <w:szCs w:val="18"/>
        </w:rPr>
        <w:t>Olağanüstü</w:t>
      </w:r>
      <w:r w:rsidR="003654E0" w:rsidRPr="003407B6">
        <w:rPr>
          <w:rFonts w:ascii="Arial" w:hAnsi="Arial" w:cs="Arial"/>
          <w:sz w:val="18"/>
          <w:szCs w:val="18"/>
        </w:rPr>
        <w:t xml:space="preserve"> Hal </w:t>
      </w:r>
      <w:r w:rsidR="007810FE" w:rsidRPr="003407B6">
        <w:rPr>
          <w:rFonts w:ascii="Arial" w:hAnsi="Arial" w:cs="Arial"/>
          <w:sz w:val="18"/>
          <w:szCs w:val="18"/>
        </w:rPr>
        <w:t>K</w:t>
      </w:r>
      <w:r w:rsidR="003654E0" w:rsidRPr="003407B6">
        <w:rPr>
          <w:rFonts w:ascii="Arial" w:hAnsi="Arial" w:cs="Arial"/>
          <w:sz w:val="18"/>
          <w:szCs w:val="18"/>
        </w:rPr>
        <w:t>anunu</w:t>
      </w:r>
      <w:r w:rsidR="00B53CC8" w:rsidRPr="003407B6">
        <w:rPr>
          <w:rFonts w:ascii="Arial" w:hAnsi="Arial" w:cs="Arial"/>
          <w:sz w:val="18"/>
          <w:szCs w:val="18"/>
        </w:rPr>
        <w:t xml:space="preserve"> ve 5326 </w:t>
      </w:r>
      <w:r w:rsidR="00C71E34" w:rsidRPr="003407B6">
        <w:rPr>
          <w:rFonts w:ascii="Arial" w:hAnsi="Arial" w:cs="Arial"/>
          <w:sz w:val="18"/>
          <w:szCs w:val="18"/>
        </w:rPr>
        <w:t xml:space="preserve">sayılı </w:t>
      </w:r>
      <w:r w:rsidR="00B53CC8" w:rsidRPr="003407B6">
        <w:rPr>
          <w:rFonts w:ascii="Arial" w:hAnsi="Arial" w:cs="Arial"/>
          <w:sz w:val="18"/>
          <w:szCs w:val="18"/>
        </w:rPr>
        <w:t xml:space="preserve">Kabahatler </w:t>
      </w:r>
      <w:r w:rsidR="004825C1" w:rsidRPr="003407B6">
        <w:rPr>
          <w:rFonts w:ascii="Arial" w:hAnsi="Arial" w:cs="Arial"/>
          <w:sz w:val="18"/>
          <w:szCs w:val="18"/>
        </w:rPr>
        <w:t>K</w:t>
      </w:r>
      <w:r w:rsidR="00B53CC8" w:rsidRPr="003407B6">
        <w:rPr>
          <w:rFonts w:ascii="Arial" w:hAnsi="Arial" w:cs="Arial"/>
          <w:sz w:val="18"/>
          <w:szCs w:val="18"/>
        </w:rPr>
        <w:t>anunu</w:t>
      </w:r>
      <w:r w:rsidR="004825C1" w:rsidRPr="003407B6">
        <w:rPr>
          <w:rFonts w:ascii="Arial" w:hAnsi="Arial" w:cs="Arial"/>
          <w:sz w:val="18"/>
          <w:szCs w:val="18"/>
        </w:rPr>
        <w:t>.</w:t>
      </w:r>
    </w:p>
  </w:footnote>
  <w:footnote w:id="13">
    <w:p w:rsidR="003F2B81" w:rsidRPr="003407B6" w:rsidRDefault="003F2B81" w:rsidP="00611F81">
      <w:pPr>
        <w:pStyle w:val="DipnotMetni"/>
        <w:spacing w:line="276" w:lineRule="auto"/>
        <w:rPr>
          <w:rFonts w:ascii="Arial" w:hAnsi="Arial" w:cs="Arial"/>
          <w:sz w:val="18"/>
          <w:szCs w:val="18"/>
        </w:rPr>
      </w:pPr>
      <w:r w:rsidRPr="003407B6">
        <w:rPr>
          <w:rStyle w:val="DipnotBavurusu"/>
          <w:rFonts w:ascii="Arial" w:hAnsi="Arial" w:cs="Arial"/>
          <w:sz w:val="18"/>
          <w:szCs w:val="18"/>
        </w:rPr>
        <w:footnoteRef/>
      </w:r>
      <w:r w:rsidR="000E2689" w:rsidRPr="003407B6">
        <w:rPr>
          <w:rFonts w:ascii="Arial" w:hAnsi="Arial" w:cs="Arial"/>
          <w:sz w:val="18"/>
          <w:szCs w:val="18"/>
        </w:rPr>
        <w:t xml:space="preserve">5442 </w:t>
      </w:r>
      <w:r w:rsidR="00C71E34" w:rsidRPr="003407B6">
        <w:rPr>
          <w:rFonts w:ascii="Arial" w:hAnsi="Arial" w:cs="Arial"/>
          <w:sz w:val="18"/>
          <w:szCs w:val="18"/>
        </w:rPr>
        <w:t xml:space="preserve">sayılı </w:t>
      </w:r>
      <w:r w:rsidRPr="003407B6">
        <w:rPr>
          <w:rFonts w:ascii="Arial" w:hAnsi="Arial" w:cs="Arial"/>
          <w:sz w:val="18"/>
          <w:szCs w:val="18"/>
        </w:rPr>
        <w:t>İl İdaresi Kanunu</w:t>
      </w:r>
      <w:r w:rsidR="004825C1" w:rsidRPr="003407B6">
        <w:rPr>
          <w:rFonts w:ascii="Arial" w:hAnsi="Arial" w:cs="Arial"/>
          <w:sz w:val="18"/>
          <w:szCs w:val="18"/>
        </w:rPr>
        <w:t>.</w:t>
      </w:r>
    </w:p>
  </w:footnote>
  <w:footnote w:id="14">
    <w:p w:rsidR="003F2B81" w:rsidRPr="003407B6" w:rsidRDefault="003F2B81" w:rsidP="00611F81">
      <w:pPr>
        <w:pStyle w:val="DipnotMetni"/>
        <w:spacing w:line="276" w:lineRule="auto"/>
        <w:rPr>
          <w:rFonts w:ascii="Arial" w:hAnsi="Arial" w:cs="Arial"/>
          <w:sz w:val="18"/>
          <w:szCs w:val="18"/>
        </w:rPr>
      </w:pPr>
      <w:r w:rsidRPr="003407B6">
        <w:rPr>
          <w:rStyle w:val="DipnotBavurusu"/>
          <w:rFonts w:ascii="Arial" w:hAnsi="Arial" w:cs="Arial"/>
          <w:sz w:val="18"/>
          <w:szCs w:val="18"/>
        </w:rPr>
        <w:footnoteRef/>
      </w:r>
      <w:r w:rsidRPr="003407B6">
        <w:rPr>
          <w:rFonts w:ascii="Arial" w:hAnsi="Arial" w:cs="Arial"/>
          <w:sz w:val="18"/>
          <w:szCs w:val="18"/>
        </w:rPr>
        <w:t xml:space="preserve"> </w:t>
      </w:r>
      <w:r w:rsidR="006517EE" w:rsidRPr="003407B6">
        <w:rPr>
          <w:rFonts w:ascii="Arial" w:hAnsi="Arial" w:cs="Arial"/>
          <w:sz w:val="18"/>
          <w:szCs w:val="18"/>
        </w:rPr>
        <w:t xml:space="preserve">2559 </w:t>
      </w:r>
      <w:r w:rsidR="00C71E34" w:rsidRPr="003407B6">
        <w:rPr>
          <w:rFonts w:ascii="Arial" w:hAnsi="Arial" w:cs="Arial"/>
          <w:sz w:val="18"/>
          <w:szCs w:val="18"/>
        </w:rPr>
        <w:t xml:space="preserve">sayılı </w:t>
      </w:r>
      <w:r w:rsidR="006517EE" w:rsidRPr="003407B6">
        <w:rPr>
          <w:rFonts w:ascii="Arial" w:hAnsi="Arial" w:cs="Arial"/>
          <w:sz w:val="18"/>
          <w:szCs w:val="18"/>
        </w:rPr>
        <w:t>Polis Vazife ve Salahiyetleri Kanunu</w:t>
      </w:r>
    </w:p>
  </w:footnote>
  <w:footnote w:id="15">
    <w:p w:rsidR="0097509B" w:rsidRPr="003407B6" w:rsidRDefault="0097509B" w:rsidP="00611F81">
      <w:pPr>
        <w:spacing w:after="0" w:line="276" w:lineRule="auto"/>
        <w:rPr>
          <w:rFonts w:ascii="Arial" w:hAnsi="Arial" w:cs="Arial"/>
          <w:sz w:val="18"/>
          <w:szCs w:val="18"/>
        </w:rPr>
      </w:pPr>
      <w:r w:rsidRPr="003407B6">
        <w:rPr>
          <w:rFonts w:ascii="Arial" w:hAnsi="Arial" w:cs="Arial"/>
          <w:sz w:val="18"/>
          <w:szCs w:val="18"/>
          <w:vertAlign w:val="superscript"/>
        </w:rPr>
        <w:footnoteRef/>
      </w:r>
      <w:r w:rsidRPr="003407B6">
        <w:rPr>
          <w:rFonts w:ascii="Arial" w:hAnsi="Arial" w:cs="Arial"/>
          <w:sz w:val="18"/>
          <w:szCs w:val="18"/>
        </w:rPr>
        <w:t xml:space="preserve"> Eşit Haklar İçin İzleme Derneği, Toplantı ve Gösteri Hakkı İzleme Raporu (2017) ile (2018).</w:t>
      </w:r>
    </w:p>
  </w:footnote>
  <w:footnote w:id="16">
    <w:p w:rsidR="00E43AAA" w:rsidRPr="003407B6" w:rsidRDefault="00E43AAA" w:rsidP="00611F81">
      <w:pPr>
        <w:pStyle w:val="DipnotMetni"/>
        <w:spacing w:line="276" w:lineRule="auto"/>
        <w:rPr>
          <w:rFonts w:ascii="Arial" w:hAnsi="Arial" w:cs="Arial"/>
          <w:sz w:val="18"/>
          <w:szCs w:val="18"/>
        </w:rPr>
      </w:pPr>
      <w:r w:rsidRPr="003407B6">
        <w:rPr>
          <w:rStyle w:val="DipnotBavurusu"/>
          <w:rFonts w:ascii="Arial" w:hAnsi="Arial" w:cs="Arial"/>
          <w:sz w:val="18"/>
          <w:szCs w:val="18"/>
        </w:rPr>
        <w:footnoteRef/>
      </w:r>
      <w:r w:rsidRPr="003407B6">
        <w:rPr>
          <w:rFonts w:ascii="Arial" w:hAnsi="Arial" w:cs="Arial"/>
          <w:sz w:val="18"/>
          <w:szCs w:val="18"/>
        </w:rPr>
        <w:t xml:space="preserve"> 4483 </w:t>
      </w:r>
      <w:r w:rsidR="00C71E34" w:rsidRPr="003407B6">
        <w:rPr>
          <w:rFonts w:ascii="Arial" w:hAnsi="Arial" w:cs="Arial"/>
          <w:sz w:val="18"/>
          <w:szCs w:val="18"/>
        </w:rPr>
        <w:t>sayılı</w:t>
      </w:r>
      <w:r w:rsidRPr="003407B6">
        <w:rPr>
          <w:rFonts w:ascii="Arial" w:hAnsi="Arial" w:cs="Arial"/>
          <w:sz w:val="18"/>
          <w:szCs w:val="18"/>
        </w:rPr>
        <w:t xml:space="preserve"> </w:t>
      </w:r>
      <w:r w:rsidR="00F71DEC" w:rsidRPr="003407B6">
        <w:rPr>
          <w:rFonts w:ascii="Arial" w:hAnsi="Arial" w:cs="Arial"/>
          <w:sz w:val="18"/>
          <w:szCs w:val="18"/>
        </w:rPr>
        <w:t>Memurlar ve Diğer Kamu Görevlilerinin Yargılanması Hakkında Kanun</w:t>
      </w:r>
      <w:r w:rsidR="001A19EC" w:rsidRPr="003407B6">
        <w:rPr>
          <w:rFonts w:ascii="Arial" w:hAnsi="Arial" w:cs="Arial"/>
          <w:sz w:val="18"/>
          <w:szCs w:val="18"/>
        </w:rPr>
        <w:t>.</w:t>
      </w:r>
    </w:p>
  </w:footnote>
  <w:footnote w:id="17">
    <w:p w:rsidR="007C4270" w:rsidRPr="003407B6" w:rsidRDefault="007C4270" w:rsidP="00611F81">
      <w:pPr>
        <w:pStyle w:val="DipnotMetni"/>
        <w:spacing w:line="276" w:lineRule="auto"/>
        <w:rPr>
          <w:rFonts w:ascii="Arial" w:hAnsi="Arial" w:cs="Arial"/>
          <w:sz w:val="18"/>
          <w:szCs w:val="18"/>
        </w:rPr>
      </w:pPr>
      <w:r w:rsidRPr="003407B6">
        <w:rPr>
          <w:rStyle w:val="DipnotBavurusu"/>
          <w:rFonts w:ascii="Arial" w:hAnsi="Arial" w:cs="Arial"/>
          <w:sz w:val="18"/>
          <w:szCs w:val="18"/>
        </w:rPr>
        <w:footnoteRef/>
      </w:r>
      <w:r w:rsidRPr="003407B6">
        <w:rPr>
          <w:rFonts w:ascii="Arial" w:hAnsi="Arial" w:cs="Arial"/>
          <w:sz w:val="18"/>
          <w:szCs w:val="18"/>
        </w:rPr>
        <w:t xml:space="preserve"> </w:t>
      </w:r>
      <w:r w:rsidR="006556C9" w:rsidRPr="003407B6">
        <w:rPr>
          <w:rFonts w:ascii="Arial" w:hAnsi="Arial" w:cs="Arial"/>
          <w:sz w:val="18"/>
          <w:szCs w:val="18"/>
        </w:rPr>
        <w:t xml:space="preserve">5326 </w:t>
      </w:r>
      <w:r w:rsidR="00B2451D" w:rsidRPr="003407B6">
        <w:rPr>
          <w:rFonts w:ascii="Arial" w:hAnsi="Arial" w:cs="Arial"/>
          <w:sz w:val="18"/>
          <w:szCs w:val="18"/>
        </w:rPr>
        <w:t>sayılı</w:t>
      </w:r>
      <w:r w:rsidR="006556C9" w:rsidRPr="003407B6">
        <w:rPr>
          <w:rFonts w:ascii="Arial" w:hAnsi="Arial" w:cs="Arial"/>
          <w:sz w:val="18"/>
          <w:szCs w:val="18"/>
        </w:rPr>
        <w:t xml:space="preserve"> </w:t>
      </w:r>
      <w:r w:rsidRPr="003407B6">
        <w:rPr>
          <w:rFonts w:ascii="Arial" w:hAnsi="Arial" w:cs="Arial"/>
          <w:sz w:val="18"/>
          <w:szCs w:val="18"/>
        </w:rPr>
        <w:t>Kabahatler Kanunu</w:t>
      </w:r>
    </w:p>
  </w:footnote>
  <w:footnote w:id="18">
    <w:p w:rsidR="008755DA" w:rsidRPr="003407B6" w:rsidRDefault="008755DA" w:rsidP="00611F81">
      <w:pPr>
        <w:pStyle w:val="DipnotMetni"/>
        <w:spacing w:line="276" w:lineRule="auto"/>
        <w:rPr>
          <w:rFonts w:ascii="Arial" w:hAnsi="Arial" w:cs="Arial"/>
          <w:sz w:val="18"/>
          <w:szCs w:val="18"/>
        </w:rPr>
      </w:pPr>
      <w:r w:rsidRPr="003407B6">
        <w:rPr>
          <w:rStyle w:val="DipnotBavurusu"/>
          <w:rFonts w:ascii="Arial" w:hAnsi="Arial" w:cs="Arial"/>
          <w:sz w:val="18"/>
          <w:szCs w:val="18"/>
        </w:rPr>
        <w:footnoteRef/>
      </w:r>
      <w:r w:rsidRPr="003407B6">
        <w:rPr>
          <w:rFonts w:ascii="Arial" w:hAnsi="Arial" w:cs="Arial"/>
          <w:sz w:val="18"/>
          <w:szCs w:val="18"/>
        </w:rPr>
        <w:t xml:space="preserve"> Bunun son örneği, YSK tarafından alınan 02.01.2019 tarih 3 sayılı kararda; kanunda herhangi bir coğrafi sınırlama olmamasına rağmen; hastalığı ve engeli nedeniyle yatağa bağımlı olan seçmenlerden sadece il/ilçe merkezlerinde yaşayan hasta ve engellilere seyyar sandık kuruluna kaydolma hakkı tanınmış, belde ve köylerde yaşayan yatağa bağımlı engelli veya hasta seçmenlere bu hakkın tanınmamıştır.</w:t>
      </w:r>
    </w:p>
  </w:footnote>
  <w:footnote w:id="19">
    <w:p w:rsidR="008755DA" w:rsidRPr="003407B6" w:rsidRDefault="008755DA" w:rsidP="00611F81">
      <w:pPr>
        <w:pStyle w:val="DipnotMetni"/>
        <w:spacing w:line="276" w:lineRule="auto"/>
        <w:rPr>
          <w:rFonts w:ascii="Arial" w:hAnsi="Arial" w:cs="Arial"/>
          <w:sz w:val="18"/>
          <w:szCs w:val="18"/>
        </w:rPr>
      </w:pPr>
      <w:r w:rsidRPr="003407B6">
        <w:rPr>
          <w:rStyle w:val="DipnotBavurusu"/>
          <w:rFonts w:ascii="Arial" w:hAnsi="Arial" w:cs="Arial"/>
          <w:sz w:val="18"/>
          <w:szCs w:val="18"/>
        </w:rPr>
        <w:footnoteRef/>
      </w:r>
      <w:r w:rsidRPr="003407B6">
        <w:rPr>
          <w:rFonts w:ascii="Arial" w:hAnsi="Arial" w:cs="Arial"/>
          <w:sz w:val="18"/>
          <w:szCs w:val="18"/>
        </w:rPr>
        <w:t xml:space="preserve"> Avrupa İnsan Hakları Mahkemesi</w:t>
      </w:r>
    </w:p>
  </w:footnote>
  <w:footnote w:id="20">
    <w:p w:rsidR="008755DA" w:rsidRPr="003407B6" w:rsidRDefault="008755DA" w:rsidP="00611F81">
      <w:pPr>
        <w:pStyle w:val="DipnotMetni"/>
        <w:spacing w:line="276" w:lineRule="auto"/>
        <w:rPr>
          <w:rFonts w:ascii="Arial" w:hAnsi="Arial" w:cs="Arial"/>
          <w:sz w:val="18"/>
          <w:szCs w:val="18"/>
        </w:rPr>
      </w:pPr>
      <w:r w:rsidRPr="003407B6">
        <w:rPr>
          <w:rStyle w:val="DipnotBavurusu"/>
          <w:rFonts w:ascii="Arial" w:hAnsi="Arial" w:cs="Arial"/>
          <w:sz w:val="18"/>
          <w:szCs w:val="18"/>
        </w:rPr>
        <w:footnoteRef/>
      </w:r>
      <w:r w:rsidRPr="003407B6">
        <w:rPr>
          <w:rFonts w:ascii="Arial" w:hAnsi="Arial" w:cs="Arial"/>
          <w:sz w:val="18"/>
          <w:szCs w:val="18"/>
        </w:rPr>
        <w:t xml:space="preserve"> Avrupa İnsan Hakları Sözleşmesi</w:t>
      </w:r>
    </w:p>
  </w:footnote>
  <w:footnote w:id="21">
    <w:p w:rsidR="008755DA" w:rsidRPr="003407B6" w:rsidRDefault="008755DA" w:rsidP="00611F81">
      <w:pPr>
        <w:pStyle w:val="DipnotMetni"/>
        <w:spacing w:line="276" w:lineRule="auto"/>
        <w:rPr>
          <w:rFonts w:ascii="Arial" w:hAnsi="Arial" w:cs="Arial"/>
          <w:sz w:val="18"/>
          <w:szCs w:val="18"/>
        </w:rPr>
      </w:pPr>
      <w:r w:rsidRPr="003407B6">
        <w:rPr>
          <w:rStyle w:val="DipnotBavurusu"/>
          <w:rFonts w:ascii="Arial" w:hAnsi="Arial" w:cs="Arial"/>
          <w:sz w:val="18"/>
          <w:szCs w:val="18"/>
        </w:rPr>
        <w:footnoteRef/>
      </w:r>
      <w:r w:rsidRPr="003407B6">
        <w:rPr>
          <w:rFonts w:ascii="Arial" w:hAnsi="Arial" w:cs="Arial"/>
          <w:sz w:val="18"/>
          <w:szCs w:val="18"/>
        </w:rPr>
        <w:t xml:space="preserve"> </w:t>
      </w:r>
      <w:r w:rsidR="00CA0B56" w:rsidRPr="003407B6">
        <w:rPr>
          <w:rFonts w:ascii="Arial" w:hAnsi="Arial" w:cs="Arial"/>
          <w:sz w:val="18"/>
          <w:szCs w:val="18"/>
        </w:rPr>
        <w:t xml:space="preserve">Söyler v. Türkiye, Başvuru no. 29411/07, 17 Eylül 2013 tarihli karar. </w:t>
      </w:r>
    </w:p>
  </w:footnote>
  <w:footnote w:id="22">
    <w:p w:rsidR="008755DA" w:rsidRPr="003407B6" w:rsidRDefault="008755DA" w:rsidP="00611F81">
      <w:pPr>
        <w:pStyle w:val="DipnotMetni"/>
        <w:spacing w:line="276" w:lineRule="auto"/>
        <w:rPr>
          <w:rFonts w:ascii="Arial" w:hAnsi="Arial" w:cs="Arial"/>
          <w:sz w:val="18"/>
          <w:szCs w:val="18"/>
        </w:rPr>
      </w:pPr>
      <w:r w:rsidRPr="003407B6">
        <w:rPr>
          <w:rStyle w:val="DipnotBavurusu"/>
          <w:rFonts w:ascii="Arial" w:hAnsi="Arial" w:cs="Arial"/>
          <w:sz w:val="18"/>
          <w:szCs w:val="18"/>
        </w:rPr>
        <w:footnoteRef/>
      </w:r>
      <w:r w:rsidRPr="003407B6">
        <w:rPr>
          <w:rFonts w:ascii="Arial" w:hAnsi="Arial" w:cs="Arial"/>
          <w:sz w:val="18"/>
          <w:szCs w:val="18"/>
        </w:rPr>
        <w:t xml:space="preserve"> YSK, Türkçe bilmeyen iki Kürt kadın seçmenin başvurusu üzerine almış olduğu 27.05.2015 tarih 1040 sayılı kararı ile Türkçe bilmeyen seçmenlere oylarını nasıl kullanacaklarının sandık başında tercüman aracığıyla açıklanması kararı almıştır. Ancak bu kararını sonraki hiçbir seçimde uygulamamıştır. Derneğimizin bu YSK kararının 2017, 2018 ve 2019 yıllarında yapılan seçimler ve referandumlarda uygulanması için yapmış olduğu 3 ayrı başvuru</w:t>
      </w:r>
      <w:r w:rsidR="00853FB2" w:rsidRPr="003407B6">
        <w:rPr>
          <w:rFonts w:ascii="Arial" w:hAnsi="Arial" w:cs="Arial"/>
          <w:sz w:val="18"/>
          <w:szCs w:val="18"/>
        </w:rPr>
        <w:t>,</w:t>
      </w:r>
      <w:r w:rsidRPr="003407B6">
        <w:rPr>
          <w:rFonts w:ascii="Arial" w:hAnsi="Arial" w:cs="Arial"/>
          <w:sz w:val="18"/>
          <w:szCs w:val="18"/>
        </w:rPr>
        <w:t xml:space="preserve"> YSK tarafından re</w:t>
      </w:r>
      <w:r w:rsidR="00853FB2" w:rsidRPr="003407B6">
        <w:rPr>
          <w:rFonts w:ascii="Arial" w:hAnsi="Arial" w:cs="Arial"/>
          <w:sz w:val="18"/>
          <w:szCs w:val="18"/>
        </w:rPr>
        <w:t xml:space="preserve">ddedilmiştir. </w:t>
      </w:r>
    </w:p>
  </w:footnote>
  <w:footnote w:id="23">
    <w:p w:rsidR="008755DA" w:rsidRPr="003407B6" w:rsidRDefault="008755DA" w:rsidP="00611F81">
      <w:pPr>
        <w:pStyle w:val="DipnotMetni"/>
        <w:spacing w:line="276" w:lineRule="auto"/>
        <w:rPr>
          <w:rFonts w:ascii="Arial" w:hAnsi="Arial" w:cs="Arial"/>
          <w:sz w:val="18"/>
          <w:szCs w:val="18"/>
        </w:rPr>
      </w:pPr>
      <w:r w:rsidRPr="003407B6">
        <w:rPr>
          <w:rStyle w:val="DipnotBavurusu"/>
          <w:rFonts w:ascii="Arial" w:hAnsi="Arial" w:cs="Arial"/>
          <w:sz w:val="18"/>
          <w:szCs w:val="18"/>
        </w:rPr>
        <w:footnoteRef/>
      </w:r>
      <w:r w:rsidRPr="003407B6">
        <w:rPr>
          <w:rFonts w:ascii="Arial" w:hAnsi="Arial" w:cs="Arial"/>
          <w:sz w:val="18"/>
          <w:szCs w:val="18"/>
        </w:rPr>
        <w:t xml:space="preserve"> YSK bir sivil toplum örgütünün görme engellilerin bağımsız oy kullanması için oy pusulası şablonu üretilmesi, maliyetinin YSK tarafından karşılanması ve seçimlerde kullanılması ile ilgili başvuruya ilişkin aldığı kararda şablon oy pusulası kullanımını istemini kabul etmiş ancak maliyetinin karşılanmasını talebini re</w:t>
      </w:r>
      <w:r w:rsidR="00CD4E24" w:rsidRPr="003407B6">
        <w:rPr>
          <w:rFonts w:ascii="Arial" w:hAnsi="Arial" w:cs="Arial"/>
          <w:sz w:val="18"/>
          <w:szCs w:val="18"/>
        </w:rPr>
        <w:t>ddedilmiştir.</w:t>
      </w:r>
      <w:r w:rsidRPr="003407B6">
        <w:rPr>
          <w:rFonts w:ascii="Arial" w:hAnsi="Arial" w:cs="Arial"/>
          <w:sz w:val="18"/>
          <w:szCs w:val="18"/>
        </w:rPr>
        <w:t xml:space="preserve"> </w:t>
      </w:r>
      <w:hyperlink r:id="rId1" w:history="1">
        <w:r w:rsidRPr="003407B6">
          <w:rPr>
            <w:rStyle w:val="Kpr"/>
            <w:rFonts w:ascii="Arial" w:hAnsi="Arial" w:cs="Arial"/>
            <w:color w:val="auto"/>
            <w:sz w:val="18"/>
            <w:szCs w:val="18"/>
          </w:rPr>
          <w:t>http://ysk.gov.tr/doc/karar/dosya/77913/2018-1103.pdf</w:t>
        </w:r>
      </w:hyperlink>
      <w:r w:rsidRPr="003407B6">
        <w:rPr>
          <w:rFonts w:ascii="Arial" w:hAnsi="Arial" w:cs="Arial"/>
          <w:sz w:val="18"/>
          <w:szCs w:val="18"/>
        </w:rPr>
        <w:t xml:space="preserve"> </w:t>
      </w:r>
    </w:p>
  </w:footnote>
  <w:footnote w:id="24">
    <w:p w:rsidR="008755DA" w:rsidRPr="003407B6" w:rsidRDefault="008755DA" w:rsidP="00611F81">
      <w:pPr>
        <w:pStyle w:val="DipnotMetni"/>
        <w:spacing w:line="276" w:lineRule="auto"/>
        <w:rPr>
          <w:rFonts w:ascii="Arial" w:hAnsi="Arial" w:cs="Arial"/>
          <w:sz w:val="18"/>
          <w:szCs w:val="18"/>
        </w:rPr>
      </w:pPr>
      <w:r w:rsidRPr="003407B6">
        <w:rPr>
          <w:rStyle w:val="DipnotBavurusu"/>
          <w:rFonts w:ascii="Arial" w:hAnsi="Arial" w:cs="Arial"/>
          <w:sz w:val="18"/>
          <w:szCs w:val="18"/>
        </w:rPr>
        <w:footnoteRef/>
      </w:r>
      <w:r w:rsidRPr="003407B6">
        <w:rPr>
          <w:rFonts w:ascii="Arial" w:hAnsi="Arial" w:cs="Arial"/>
          <w:sz w:val="18"/>
          <w:szCs w:val="18"/>
        </w:rPr>
        <w:t xml:space="preserve"> Derneğimizin 2011 yılından beri YSK’ya yapmış olduğu 10 ayrı seçim </w:t>
      </w:r>
      <w:r w:rsidR="00882EE0" w:rsidRPr="003407B6">
        <w:rPr>
          <w:rFonts w:ascii="Arial" w:hAnsi="Arial" w:cs="Arial"/>
          <w:sz w:val="18"/>
          <w:szCs w:val="18"/>
        </w:rPr>
        <w:t>gözlemi akreditasyon</w:t>
      </w:r>
      <w:r w:rsidR="00D463E1" w:rsidRPr="003407B6">
        <w:rPr>
          <w:rFonts w:ascii="Arial" w:hAnsi="Arial" w:cs="Arial"/>
          <w:sz w:val="18"/>
          <w:szCs w:val="18"/>
        </w:rPr>
        <w:t xml:space="preserve"> başvurusu YSK tarafından reddedilmiştir.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D6C20"/>
    <w:multiLevelType w:val="multilevel"/>
    <w:tmpl w:val="36E45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9D4373"/>
    <w:multiLevelType w:val="hybridMultilevel"/>
    <w:tmpl w:val="A6B0164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55625EF2"/>
    <w:multiLevelType w:val="multilevel"/>
    <w:tmpl w:val="36E45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D91F40"/>
    <w:multiLevelType w:val="multilevel"/>
    <w:tmpl w:val="2320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3B3ABD"/>
    <w:multiLevelType w:val="multilevel"/>
    <w:tmpl w:val="36E45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C133EA"/>
    <w:multiLevelType w:val="multilevel"/>
    <w:tmpl w:val="36E45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C27BC8"/>
    <w:multiLevelType w:val="hybridMultilevel"/>
    <w:tmpl w:val="B99654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CFF3279"/>
    <w:multiLevelType w:val="multilevel"/>
    <w:tmpl w:val="11C40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A913B7"/>
    <w:multiLevelType w:val="hybridMultilevel"/>
    <w:tmpl w:val="D5AA89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B5D7F07"/>
    <w:multiLevelType w:val="multilevel"/>
    <w:tmpl w:val="F65EF6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3"/>
  </w:num>
  <w:num w:numId="3">
    <w:abstractNumId w:val="4"/>
  </w:num>
  <w:num w:numId="4">
    <w:abstractNumId w:val="2"/>
  </w:num>
  <w:num w:numId="5">
    <w:abstractNumId w:val="0"/>
  </w:num>
  <w:num w:numId="6">
    <w:abstractNumId w:val="5"/>
  </w:num>
  <w:num w:numId="7">
    <w:abstractNumId w:val="9"/>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FED"/>
    <w:rsid w:val="00000603"/>
    <w:rsid w:val="00002416"/>
    <w:rsid w:val="0003714D"/>
    <w:rsid w:val="00050B0E"/>
    <w:rsid w:val="000666F7"/>
    <w:rsid w:val="00070BB4"/>
    <w:rsid w:val="00072204"/>
    <w:rsid w:val="000749FB"/>
    <w:rsid w:val="00076623"/>
    <w:rsid w:val="000802CD"/>
    <w:rsid w:val="00080953"/>
    <w:rsid w:val="000820F6"/>
    <w:rsid w:val="000913D4"/>
    <w:rsid w:val="000A39B4"/>
    <w:rsid w:val="000A6AF6"/>
    <w:rsid w:val="000B5482"/>
    <w:rsid w:val="000C0665"/>
    <w:rsid w:val="000C2045"/>
    <w:rsid w:val="000E2689"/>
    <w:rsid w:val="000E5E59"/>
    <w:rsid w:val="001070C7"/>
    <w:rsid w:val="00107BBC"/>
    <w:rsid w:val="0011624A"/>
    <w:rsid w:val="001171D1"/>
    <w:rsid w:val="00122660"/>
    <w:rsid w:val="001242F3"/>
    <w:rsid w:val="00142442"/>
    <w:rsid w:val="00142FD8"/>
    <w:rsid w:val="00152C34"/>
    <w:rsid w:val="0017637D"/>
    <w:rsid w:val="001820AF"/>
    <w:rsid w:val="00183279"/>
    <w:rsid w:val="00186C02"/>
    <w:rsid w:val="001903BC"/>
    <w:rsid w:val="001A19EC"/>
    <w:rsid w:val="001A51D5"/>
    <w:rsid w:val="001A612F"/>
    <w:rsid w:val="001D2987"/>
    <w:rsid w:val="001D2CA8"/>
    <w:rsid w:val="001D3F51"/>
    <w:rsid w:val="001F5BFF"/>
    <w:rsid w:val="0026250A"/>
    <w:rsid w:val="00263011"/>
    <w:rsid w:val="002756DD"/>
    <w:rsid w:val="002821AD"/>
    <w:rsid w:val="00286614"/>
    <w:rsid w:val="00286D05"/>
    <w:rsid w:val="002E19A6"/>
    <w:rsid w:val="002F411C"/>
    <w:rsid w:val="00327AF0"/>
    <w:rsid w:val="00333F9C"/>
    <w:rsid w:val="003407B6"/>
    <w:rsid w:val="0034280C"/>
    <w:rsid w:val="003456A7"/>
    <w:rsid w:val="00346E7E"/>
    <w:rsid w:val="003473C6"/>
    <w:rsid w:val="00351352"/>
    <w:rsid w:val="003654E0"/>
    <w:rsid w:val="00375F25"/>
    <w:rsid w:val="00386A06"/>
    <w:rsid w:val="00395C62"/>
    <w:rsid w:val="003A387E"/>
    <w:rsid w:val="003B5FB9"/>
    <w:rsid w:val="003D3A90"/>
    <w:rsid w:val="003F2B81"/>
    <w:rsid w:val="003F451C"/>
    <w:rsid w:val="004162CD"/>
    <w:rsid w:val="0042431F"/>
    <w:rsid w:val="004273AC"/>
    <w:rsid w:val="00450FCD"/>
    <w:rsid w:val="00451650"/>
    <w:rsid w:val="00454A7B"/>
    <w:rsid w:val="00461D86"/>
    <w:rsid w:val="004674A6"/>
    <w:rsid w:val="00476606"/>
    <w:rsid w:val="004825C1"/>
    <w:rsid w:val="004834E4"/>
    <w:rsid w:val="00487057"/>
    <w:rsid w:val="004A2EEF"/>
    <w:rsid w:val="004D182B"/>
    <w:rsid w:val="004E6550"/>
    <w:rsid w:val="00504C49"/>
    <w:rsid w:val="005164A4"/>
    <w:rsid w:val="00520F6F"/>
    <w:rsid w:val="005249C0"/>
    <w:rsid w:val="005314A4"/>
    <w:rsid w:val="00544BE1"/>
    <w:rsid w:val="00552549"/>
    <w:rsid w:val="0056179B"/>
    <w:rsid w:val="0056204C"/>
    <w:rsid w:val="00575FD1"/>
    <w:rsid w:val="00593850"/>
    <w:rsid w:val="00595ED9"/>
    <w:rsid w:val="005960BD"/>
    <w:rsid w:val="005B1CB0"/>
    <w:rsid w:val="005B5113"/>
    <w:rsid w:val="005B7BCD"/>
    <w:rsid w:val="005C6116"/>
    <w:rsid w:val="005D7368"/>
    <w:rsid w:val="005E2B1A"/>
    <w:rsid w:val="005E65C9"/>
    <w:rsid w:val="0060068F"/>
    <w:rsid w:val="00610899"/>
    <w:rsid w:val="00610EF7"/>
    <w:rsid w:val="00611F81"/>
    <w:rsid w:val="006247CD"/>
    <w:rsid w:val="0063748F"/>
    <w:rsid w:val="006472DF"/>
    <w:rsid w:val="006517EE"/>
    <w:rsid w:val="006556C9"/>
    <w:rsid w:val="00655857"/>
    <w:rsid w:val="006749DC"/>
    <w:rsid w:val="00675B47"/>
    <w:rsid w:val="006772E8"/>
    <w:rsid w:val="006845F0"/>
    <w:rsid w:val="006B44D7"/>
    <w:rsid w:val="006D0362"/>
    <w:rsid w:val="006E2F2D"/>
    <w:rsid w:val="006F093D"/>
    <w:rsid w:val="00710C6B"/>
    <w:rsid w:val="00712AE7"/>
    <w:rsid w:val="00730FFE"/>
    <w:rsid w:val="00742BC3"/>
    <w:rsid w:val="0074454E"/>
    <w:rsid w:val="007665E3"/>
    <w:rsid w:val="007810FE"/>
    <w:rsid w:val="0079474A"/>
    <w:rsid w:val="007A5C62"/>
    <w:rsid w:val="007C4270"/>
    <w:rsid w:val="00802DF8"/>
    <w:rsid w:val="008142B6"/>
    <w:rsid w:val="00853931"/>
    <w:rsid w:val="00853FB2"/>
    <w:rsid w:val="008755DA"/>
    <w:rsid w:val="00882EE0"/>
    <w:rsid w:val="00892150"/>
    <w:rsid w:val="0089657B"/>
    <w:rsid w:val="008A5F02"/>
    <w:rsid w:val="008B3490"/>
    <w:rsid w:val="008E17A4"/>
    <w:rsid w:val="008F570C"/>
    <w:rsid w:val="00903C02"/>
    <w:rsid w:val="00950E25"/>
    <w:rsid w:val="0097509B"/>
    <w:rsid w:val="0098694F"/>
    <w:rsid w:val="009A12CD"/>
    <w:rsid w:val="009A66E8"/>
    <w:rsid w:val="009E6286"/>
    <w:rsid w:val="009F6F91"/>
    <w:rsid w:val="00A0244D"/>
    <w:rsid w:val="00A02A40"/>
    <w:rsid w:val="00A06A16"/>
    <w:rsid w:val="00A31D61"/>
    <w:rsid w:val="00A32182"/>
    <w:rsid w:val="00A45821"/>
    <w:rsid w:val="00A50F21"/>
    <w:rsid w:val="00A5472A"/>
    <w:rsid w:val="00A653C8"/>
    <w:rsid w:val="00A72612"/>
    <w:rsid w:val="00AA46D6"/>
    <w:rsid w:val="00AD581B"/>
    <w:rsid w:val="00AE652F"/>
    <w:rsid w:val="00AF6305"/>
    <w:rsid w:val="00B0082C"/>
    <w:rsid w:val="00B02320"/>
    <w:rsid w:val="00B17423"/>
    <w:rsid w:val="00B207E0"/>
    <w:rsid w:val="00B2170E"/>
    <w:rsid w:val="00B2451D"/>
    <w:rsid w:val="00B25276"/>
    <w:rsid w:val="00B350B0"/>
    <w:rsid w:val="00B42F10"/>
    <w:rsid w:val="00B53975"/>
    <w:rsid w:val="00B53CC8"/>
    <w:rsid w:val="00B644DA"/>
    <w:rsid w:val="00B918DA"/>
    <w:rsid w:val="00BA5A28"/>
    <w:rsid w:val="00BA68A7"/>
    <w:rsid w:val="00BB0068"/>
    <w:rsid w:val="00BD706E"/>
    <w:rsid w:val="00BE14A1"/>
    <w:rsid w:val="00BE7894"/>
    <w:rsid w:val="00BE7DA9"/>
    <w:rsid w:val="00BF0E3A"/>
    <w:rsid w:val="00C13063"/>
    <w:rsid w:val="00C138A7"/>
    <w:rsid w:val="00C16517"/>
    <w:rsid w:val="00C32369"/>
    <w:rsid w:val="00C33D1D"/>
    <w:rsid w:val="00C37078"/>
    <w:rsid w:val="00C374F6"/>
    <w:rsid w:val="00C50C5C"/>
    <w:rsid w:val="00C56469"/>
    <w:rsid w:val="00C600FC"/>
    <w:rsid w:val="00C6052E"/>
    <w:rsid w:val="00C63C7F"/>
    <w:rsid w:val="00C71E34"/>
    <w:rsid w:val="00C9309F"/>
    <w:rsid w:val="00CA0B56"/>
    <w:rsid w:val="00CA29BB"/>
    <w:rsid w:val="00CA7950"/>
    <w:rsid w:val="00CB4BF0"/>
    <w:rsid w:val="00CB62E7"/>
    <w:rsid w:val="00CD3E0A"/>
    <w:rsid w:val="00CD48BA"/>
    <w:rsid w:val="00CD4E24"/>
    <w:rsid w:val="00CD713D"/>
    <w:rsid w:val="00CE4DD1"/>
    <w:rsid w:val="00CF78FE"/>
    <w:rsid w:val="00D0386D"/>
    <w:rsid w:val="00D077DA"/>
    <w:rsid w:val="00D20575"/>
    <w:rsid w:val="00D2648A"/>
    <w:rsid w:val="00D30F46"/>
    <w:rsid w:val="00D41E3E"/>
    <w:rsid w:val="00D463E1"/>
    <w:rsid w:val="00D50028"/>
    <w:rsid w:val="00D57A71"/>
    <w:rsid w:val="00D800A9"/>
    <w:rsid w:val="00D82A86"/>
    <w:rsid w:val="00DA11F3"/>
    <w:rsid w:val="00DB561E"/>
    <w:rsid w:val="00DB7BD5"/>
    <w:rsid w:val="00DC2DFD"/>
    <w:rsid w:val="00DC2FED"/>
    <w:rsid w:val="00DD6956"/>
    <w:rsid w:val="00DE27EB"/>
    <w:rsid w:val="00DE3F06"/>
    <w:rsid w:val="00DF3736"/>
    <w:rsid w:val="00E04E3A"/>
    <w:rsid w:val="00E158B5"/>
    <w:rsid w:val="00E16557"/>
    <w:rsid w:val="00E170F0"/>
    <w:rsid w:val="00E31257"/>
    <w:rsid w:val="00E31764"/>
    <w:rsid w:val="00E3236D"/>
    <w:rsid w:val="00E4077E"/>
    <w:rsid w:val="00E43AAA"/>
    <w:rsid w:val="00E5363D"/>
    <w:rsid w:val="00E726E5"/>
    <w:rsid w:val="00E91826"/>
    <w:rsid w:val="00EA188A"/>
    <w:rsid w:val="00EB1561"/>
    <w:rsid w:val="00EB1CB7"/>
    <w:rsid w:val="00EC09DE"/>
    <w:rsid w:val="00ED25B7"/>
    <w:rsid w:val="00EE170D"/>
    <w:rsid w:val="00EE47CF"/>
    <w:rsid w:val="00EE5F3F"/>
    <w:rsid w:val="00EF7109"/>
    <w:rsid w:val="00F24FC0"/>
    <w:rsid w:val="00F27144"/>
    <w:rsid w:val="00F464EC"/>
    <w:rsid w:val="00F6441D"/>
    <w:rsid w:val="00F71DEC"/>
    <w:rsid w:val="00F74467"/>
    <w:rsid w:val="00F74EA4"/>
    <w:rsid w:val="00F76359"/>
    <w:rsid w:val="00F86E67"/>
    <w:rsid w:val="00FA7100"/>
    <w:rsid w:val="00FB1824"/>
    <w:rsid w:val="00FB3507"/>
    <w:rsid w:val="00FD2A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4E594C-E68B-4802-92EE-0C3BC2CE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B7B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C2F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DC2FED"/>
    <w:pPr>
      <w:ind w:left="720"/>
      <w:contextualSpacing/>
    </w:pPr>
  </w:style>
  <w:style w:type="paragraph" w:styleId="DipnotMetni">
    <w:name w:val="footnote text"/>
    <w:basedOn w:val="Normal"/>
    <w:link w:val="DipnotMetniChar"/>
    <w:uiPriority w:val="99"/>
    <w:semiHidden/>
    <w:unhideWhenUsed/>
    <w:rsid w:val="0089657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9657B"/>
    <w:rPr>
      <w:sz w:val="20"/>
      <w:szCs w:val="20"/>
    </w:rPr>
  </w:style>
  <w:style w:type="character" w:styleId="DipnotBavurusu">
    <w:name w:val="footnote reference"/>
    <w:basedOn w:val="VarsaylanParagrafYazTipi"/>
    <w:uiPriority w:val="99"/>
    <w:semiHidden/>
    <w:unhideWhenUsed/>
    <w:rsid w:val="0089657B"/>
    <w:rPr>
      <w:vertAlign w:val="superscript"/>
    </w:rPr>
  </w:style>
  <w:style w:type="character" w:styleId="Kpr">
    <w:name w:val="Hyperlink"/>
    <w:basedOn w:val="VarsaylanParagrafYazTipi"/>
    <w:uiPriority w:val="99"/>
    <w:unhideWhenUsed/>
    <w:rsid w:val="008755DA"/>
    <w:rPr>
      <w:color w:val="0000FF"/>
      <w:u w:val="single"/>
    </w:rPr>
  </w:style>
  <w:style w:type="character" w:customStyle="1" w:styleId="Balk1Char">
    <w:name w:val="Başlık 1 Char"/>
    <w:basedOn w:val="VarsaylanParagrafYazTipi"/>
    <w:link w:val="Balk1"/>
    <w:uiPriority w:val="9"/>
    <w:rsid w:val="00DB7BD5"/>
    <w:rPr>
      <w:rFonts w:asciiTheme="majorHAnsi" w:eastAsiaTheme="majorEastAsia" w:hAnsiTheme="majorHAnsi" w:cstheme="majorBidi"/>
      <w:color w:val="2E74B5" w:themeColor="accent1" w:themeShade="BF"/>
      <w:sz w:val="32"/>
      <w:szCs w:val="32"/>
    </w:rPr>
  </w:style>
  <w:style w:type="paragraph" w:styleId="stBilgi">
    <w:name w:val="header"/>
    <w:basedOn w:val="Normal"/>
    <w:link w:val="stBilgiChar"/>
    <w:uiPriority w:val="99"/>
    <w:unhideWhenUsed/>
    <w:rsid w:val="00CD713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D713D"/>
  </w:style>
  <w:style w:type="paragraph" w:styleId="AltBilgi">
    <w:name w:val="footer"/>
    <w:basedOn w:val="Normal"/>
    <w:link w:val="AltBilgiChar"/>
    <w:uiPriority w:val="99"/>
    <w:unhideWhenUsed/>
    <w:rsid w:val="00CD713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D7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599591">
      <w:bodyDiv w:val="1"/>
      <w:marLeft w:val="0"/>
      <w:marRight w:val="0"/>
      <w:marTop w:val="0"/>
      <w:marBottom w:val="0"/>
      <w:divBdr>
        <w:top w:val="none" w:sz="0" w:space="0" w:color="auto"/>
        <w:left w:val="none" w:sz="0" w:space="0" w:color="auto"/>
        <w:bottom w:val="none" w:sz="0" w:space="0" w:color="auto"/>
        <w:right w:val="none" w:sz="0" w:space="0" w:color="auto"/>
      </w:divBdr>
    </w:div>
    <w:div w:id="340473894">
      <w:bodyDiv w:val="1"/>
      <w:marLeft w:val="0"/>
      <w:marRight w:val="0"/>
      <w:marTop w:val="0"/>
      <w:marBottom w:val="0"/>
      <w:divBdr>
        <w:top w:val="none" w:sz="0" w:space="0" w:color="auto"/>
        <w:left w:val="none" w:sz="0" w:space="0" w:color="auto"/>
        <w:bottom w:val="none" w:sz="0" w:space="0" w:color="auto"/>
        <w:right w:val="none" w:sz="0" w:space="0" w:color="auto"/>
      </w:divBdr>
      <w:divsChild>
        <w:div w:id="1781493158">
          <w:marLeft w:val="0"/>
          <w:marRight w:val="0"/>
          <w:marTop w:val="0"/>
          <w:marBottom w:val="0"/>
          <w:divBdr>
            <w:top w:val="none" w:sz="0" w:space="0" w:color="auto"/>
            <w:left w:val="none" w:sz="0" w:space="0" w:color="auto"/>
            <w:bottom w:val="none" w:sz="0" w:space="0" w:color="auto"/>
            <w:right w:val="none" w:sz="0" w:space="0" w:color="auto"/>
          </w:divBdr>
          <w:divsChild>
            <w:div w:id="308481545">
              <w:marLeft w:val="0"/>
              <w:marRight w:val="0"/>
              <w:marTop w:val="0"/>
              <w:marBottom w:val="0"/>
              <w:divBdr>
                <w:top w:val="none" w:sz="0" w:space="0" w:color="auto"/>
                <w:left w:val="none" w:sz="0" w:space="0" w:color="auto"/>
                <w:bottom w:val="none" w:sz="0" w:space="0" w:color="auto"/>
                <w:right w:val="none" w:sz="0" w:space="0" w:color="auto"/>
              </w:divBdr>
              <w:divsChild>
                <w:div w:id="182696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957931">
      <w:bodyDiv w:val="1"/>
      <w:marLeft w:val="0"/>
      <w:marRight w:val="0"/>
      <w:marTop w:val="0"/>
      <w:marBottom w:val="0"/>
      <w:divBdr>
        <w:top w:val="none" w:sz="0" w:space="0" w:color="auto"/>
        <w:left w:val="none" w:sz="0" w:space="0" w:color="auto"/>
        <w:bottom w:val="none" w:sz="0" w:space="0" w:color="auto"/>
        <w:right w:val="none" w:sz="0" w:space="0" w:color="auto"/>
      </w:divBdr>
    </w:div>
    <w:div w:id="1066998894">
      <w:bodyDiv w:val="1"/>
      <w:marLeft w:val="0"/>
      <w:marRight w:val="0"/>
      <w:marTop w:val="0"/>
      <w:marBottom w:val="0"/>
      <w:divBdr>
        <w:top w:val="none" w:sz="0" w:space="0" w:color="auto"/>
        <w:left w:val="none" w:sz="0" w:space="0" w:color="auto"/>
        <w:bottom w:val="none" w:sz="0" w:space="0" w:color="auto"/>
        <w:right w:val="none" w:sz="0" w:space="0" w:color="auto"/>
      </w:divBdr>
    </w:div>
    <w:div w:id="1562444397">
      <w:bodyDiv w:val="1"/>
      <w:marLeft w:val="0"/>
      <w:marRight w:val="0"/>
      <w:marTop w:val="0"/>
      <w:marBottom w:val="0"/>
      <w:divBdr>
        <w:top w:val="none" w:sz="0" w:space="0" w:color="auto"/>
        <w:left w:val="none" w:sz="0" w:space="0" w:color="auto"/>
        <w:bottom w:val="none" w:sz="0" w:space="0" w:color="auto"/>
        <w:right w:val="none" w:sz="0" w:space="0" w:color="auto"/>
      </w:divBdr>
    </w:div>
    <w:div w:id="1577402263">
      <w:bodyDiv w:val="1"/>
      <w:marLeft w:val="0"/>
      <w:marRight w:val="0"/>
      <w:marTop w:val="0"/>
      <w:marBottom w:val="0"/>
      <w:divBdr>
        <w:top w:val="none" w:sz="0" w:space="0" w:color="auto"/>
        <w:left w:val="none" w:sz="0" w:space="0" w:color="auto"/>
        <w:bottom w:val="none" w:sz="0" w:space="0" w:color="auto"/>
        <w:right w:val="none" w:sz="0" w:space="0" w:color="auto"/>
      </w:divBdr>
    </w:div>
    <w:div w:id="1722247292">
      <w:bodyDiv w:val="1"/>
      <w:marLeft w:val="0"/>
      <w:marRight w:val="0"/>
      <w:marTop w:val="0"/>
      <w:marBottom w:val="0"/>
      <w:divBdr>
        <w:top w:val="none" w:sz="0" w:space="0" w:color="auto"/>
        <w:left w:val="none" w:sz="0" w:space="0" w:color="auto"/>
        <w:bottom w:val="none" w:sz="0" w:space="0" w:color="auto"/>
        <w:right w:val="none" w:sz="0" w:space="0" w:color="auto"/>
      </w:divBdr>
      <w:divsChild>
        <w:div w:id="2038391200">
          <w:marLeft w:val="0"/>
          <w:marRight w:val="0"/>
          <w:marTop w:val="0"/>
          <w:marBottom w:val="0"/>
          <w:divBdr>
            <w:top w:val="none" w:sz="0" w:space="0" w:color="auto"/>
            <w:left w:val="none" w:sz="0" w:space="0" w:color="auto"/>
            <w:bottom w:val="none" w:sz="0" w:space="0" w:color="auto"/>
            <w:right w:val="none" w:sz="0" w:space="0" w:color="auto"/>
          </w:divBdr>
          <w:divsChild>
            <w:div w:id="506332250">
              <w:marLeft w:val="0"/>
              <w:marRight w:val="0"/>
              <w:marTop w:val="0"/>
              <w:marBottom w:val="0"/>
              <w:divBdr>
                <w:top w:val="none" w:sz="0" w:space="0" w:color="auto"/>
                <w:left w:val="none" w:sz="0" w:space="0" w:color="auto"/>
                <w:bottom w:val="none" w:sz="0" w:space="0" w:color="auto"/>
                <w:right w:val="none" w:sz="0" w:space="0" w:color="auto"/>
              </w:divBdr>
              <w:divsChild>
                <w:div w:id="3107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07418">
      <w:bodyDiv w:val="1"/>
      <w:marLeft w:val="0"/>
      <w:marRight w:val="0"/>
      <w:marTop w:val="0"/>
      <w:marBottom w:val="0"/>
      <w:divBdr>
        <w:top w:val="none" w:sz="0" w:space="0" w:color="auto"/>
        <w:left w:val="none" w:sz="0" w:space="0" w:color="auto"/>
        <w:bottom w:val="none" w:sz="0" w:space="0" w:color="auto"/>
        <w:right w:val="none" w:sz="0" w:space="0" w:color="auto"/>
      </w:divBdr>
      <w:divsChild>
        <w:div w:id="980689748">
          <w:marLeft w:val="0"/>
          <w:marRight w:val="0"/>
          <w:marTop w:val="0"/>
          <w:marBottom w:val="0"/>
          <w:divBdr>
            <w:top w:val="none" w:sz="0" w:space="0" w:color="auto"/>
            <w:left w:val="none" w:sz="0" w:space="0" w:color="auto"/>
            <w:bottom w:val="none" w:sz="0" w:space="0" w:color="auto"/>
            <w:right w:val="none" w:sz="0" w:space="0" w:color="auto"/>
          </w:divBdr>
          <w:divsChild>
            <w:div w:id="1532260284">
              <w:marLeft w:val="0"/>
              <w:marRight w:val="0"/>
              <w:marTop w:val="0"/>
              <w:marBottom w:val="0"/>
              <w:divBdr>
                <w:top w:val="none" w:sz="0" w:space="0" w:color="auto"/>
                <w:left w:val="none" w:sz="0" w:space="0" w:color="auto"/>
                <w:bottom w:val="none" w:sz="0" w:space="0" w:color="auto"/>
                <w:right w:val="none" w:sz="0" w:space="0" w:color="auto"/>
              </w:divBdr>
              <w:divsChild>
                <w:div w:id="171273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03291">
      <w:bodyDiv w:val="1"/>
      <w:marLeft w:val="0"/>
      <w:marRight w:val="0"/>
      <w:marTop w:val="0"/>
      <w:marBottom w:val="0"/>
      <w:divBdr>
        <w:top w:val="none" w:sz="0" w:space="0" w:color="auto"/>
        <w:left w:val="none" w:sz="0" w:space="0" w:color="auto"/>
        <w:bottom w:val="none" w:sz="0" w:space="0" w:color="auto"/>
        <w:right w:val="none" w:sz="0" w:space="0" w:color="auto"/>
      </w:divBdr>
      <w:divsChild>
        <w:div w:id="35205707">
          <w:marLeft w:val="0"/>
          <w:marRight w:val="0"/>
          <w:marTop w:val="0"/>
          <w:marBottom w:val="0"/>
          <w:divBdr>
            <w:top w:val="none" w:sz="0" w:space="0" w:color="auto"/>
            <w:left w:val="none" w:sz="0" w:space="0" w:color="auto"/>
            <w:bottom w:val="none" w:sz="0" w:space="0" w:color="auto"/>
            <w:right w:val="none" w:sz="0" w:space="0" w:color="auto"/>
          </w:divBdr>
          <w:divsChild>
            <w:div w:id="506333098">
              <w:marLeft w:val="0"/>
              <w:marRight w:val="0"/>
              <w:marTop w:val="0"/>
              <w:marBottom w:val="0"/>
              <w:divBdr>
                <w:top w:val="none" w:sz="0" w:space="0" w:color="auto"/>
                <w:left w:val="none" w:sz="0" w:space="0" w:color="auto"/>
                <w:bottom w:val="none" w:sz="0" w:space="0" w:color="auto"/>
                <w:right w:val="none" w:sz="0" w:space="0" w:color="auto"/>
              </w:divBdr>
              <w:divsChild>
                <w:div w:id="58218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34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ysk.gov.tr/doc/karar/dosya/77913/2018-1103.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F207C-E2AA-4B09-A36B-F2EC91466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2702</Words>
  <Characters>15407</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Eshid</cp:lastModifiedBy>
  <cp:revision>209</cp:revision>
  <dcterms:created xsi:type="dcterms:W3CDTF">2019-07-17T13:24:00Z</dcterms:created>
  <dcterms:modified xsi:type="dcterms:W3CDTF">2019-11-26T09:34:00Z</dcterms:modified>
</cp:coreProperties>
</file>