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07" w:rsidRDefault="00C00807" w:rsidP="00887ECA">
      <w:pPr>
        <w:spacing w:line="276" w:lineRule="auto"/>
        <w:jc w:val="both"/>
        <w:rPr>
          <w:b/>
          <w:sz w:val="28"/>
          <w:lang w:val="en-GB"/>
        </w:rPr>
      </w:pPr>
    </w:p>
    <w:p w:rsidR="00C00807" w:rsidRDefault="00C00807" w:rsidP="00887ECA">
      <w:pPr>
        <w:spacing w:line="276" w:lineRule="auto"/>
        <w:jc w:val="both"/>
        <w:rPr>
          <w:b/>
          <w:sz w:val="28"/>
          <w:lang w:val="en-GB"/>
        </w:rPr>
      </w:pPr>
    </w:p>
    <w:p w:rsidR="00C00807" w:rsidRDefault="00C00807" w:rsidP="00887ECA">
      <w:pPr>
        <w:spacing w:line="276" w:lineRule="auto"/>
        <w:jc w:val="both"/>
        <w:rPr>
          <w:b/>
          <w:sz w:val="28"/>
          <w:lang w:val="en-GB"/>
        </w:rPr>
      </w:pPr>
    </w:p>
    <w:p w:rsidR="00C00807" w:rsidRDefault="00C00807" w:rsidP="00887ECA">
      <w:pPr>
        <w:spacing w:line="276" w:lineRule="auto"/>
        <w:jc w:val="both"/>
        <w:rPr>
          <w:b/>
          <w:sz w:val="28"/>
          <w:lang w:val="en-GB"/>
        </w:rPr>
      </w:pPr>
    </w:p>
    <w:p w:rsidR="009379E8" w:rsidRDefault="009379E8" w:rsidP="00887ECA">
      <w:pPr>
        <w:spacing w:line="276" w:lineRule="auto"/>
        <w:jc w:val="both"/>
        <w:rPr>
          <w:b/>
          <w:sz w:val="28"/>
          <w:lang w:val="en-GB"/>
        </w:rPr>
      </w:pPr>
    </w:p>
    <w:p w:rsidR="009379E8" w:rsidRDefault="009379E8" w:rsidP="00887ECA">
      <w:pPr>
        <w:spacing w:line="276" w:lineRule="auto"/>
        <w:jc w:val="both"/>
        <w:rPr>
          <w:b/>
          <w:sz w:val="28"/>
          <w:lang w:val="en-GB"/>
        </w:rPr>
      </w:pPr>
    </w:p>
    <w:p w:rsidR="00360A48" w:rsidRDefault="00360A48" w:rsidP="00887ECA">
      <w:pPr>
        <w:spacing w:line="276" w:lineRule="auto"/>
        <w:jc w:val="both"/>
        <w:rPr>
          <w:b/>
          <w:sz w:val="28"/>
          <w:lang w:val="en-GB"/>
        </w:rPr>
      </w:pPr>
    </w:p>
    <w:p w:rsidR="00360A48" w:rsidRDefault="00360A48" w:rsidP="00887ECA">
      <w:pPr>
        <w:spacing w:line="276" w:lineRule="auto"/>
        <w:jc w:val="both"/>
        <w:rPr>
          <w:b/>
          <w:sz w:val="28"/>
          <w:lang w:val="en-GB"/>
        </w:rPr>
      </w:pPr>
    </w:p>
    <w:p w:rsidR="00C00807" w:rsidRDefault="00C00807" w:rsidP="00887ECA">
      <w:pPr>
        <w:spacing w:line="276" w:lineRule="auto"/>
        <w:jc w:val="both"/>
        <w:rPr>
          <w:b/>
          <w:sz w:val="28"/>
          <w:lang w:val="en-GB"/>
        </w:rPr>
      </w:pPr>
    </w:p>
    <w:p w:rsidR="008600BC" w:rsidRPr="00C00807" w:rsidRDefault="008600BC" w:rsidP="00887ECA">
      <w:pPr>
        <w:spacing w:line="276" w:lineRule="auto"/>
        <w:jc w:val="both"/>
        <w:rPr>
          <w:rFonts w:ascii="Times New Roman" w:hAnsi="Times New Roman" w:cs="Times New Roman"/>
          <w:lang w:val="en-US"/>
        </w:rPr>
      </w:pPr>
      <w:r w:rsidRPr="00845BE3">
        <w:rPr>
          <w:rFonts w:ascii="Times New Roman" w:hAnsi="Times New Roman" w:cs="Times New Roman"/>
          <w:noProof/>
          <w:lang w:eastAsia="tr-TR"/>
        </w:rPr>
        <w:drawing>
          <wp:anchor distT="0" distB="0" distL="114300" distR="114300" simplePos="0" relativeHeight="251659264" behindDoc="1" locked="0" layoutInCell="1" allowOverlap="1" wp14:anchorId="640D2CB2" wp14:editId="687883B3">
            <wp:simplePos x="0" y="0"/>
            <wp:positionH relativeFrom="column">
              <wp:posOffset>1504950</wp:posOffset>
            </wp:positionH>
            <wp:positionV relativeFrom="paragraph">
              <wp:posOffset>8890</wp:posOffset>
            </wp:positionV>
            <wp:extent cx="2438400" cy="1162050"/>
            <wp:effectExtent l="0" t="0" r="0" b="0"/>
            <wp:wrapTight wrapText="bothSides">
              <wp:wrapPolygon edited="0">
                <wp:start x="0" y="0"/>
                <wp:lineTo x="0" y="21246"/>
                <wp:lineTo x="21431" y="21246"/>
                <wp:lineTo x="214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38400" cy="1162050"/>
                    </a:xfrm>
                    <a:prstGeom prst="rect">
                      <a:avLst/>
                    </a:prstGeom>
                    <a:ln/>
                  </pic:spPr>
                </pic:pic>
              </a:graphicData>
            </a:graphic>
          </wp:anchor>
        </w:drawing>
      </w:r>
    </w:p>
    <w:p w:rsidR="008600BC" w:rsidRPr="00845BE3" w:rsidRDefault="008600BC" w:rsidP="00887ECA">
      <w:pPr>
        <w:spacing w:line="276" w:lineRule="auto"/>
        <w:jc w:val="both"/>
        <w:rPr>
          <w:rFonts w:ascii="Times New Roman" w:eastAsia="Times New Roman" w:hAnsi="Times New Roman" w:cs="Times New Roman"/>
          <w:lang w:val="en-US"/>
        </w:rPr>
      </w:pPr>
    </w:p>
    <w:p w:rsidR="008600BC" w:rsidRPr="00845BE3" w:rsidRDefault="008600BC" w:rsidP="00887ECA">
      <w:pPr>
        <w:spacing w:line="276" w:lineRule="auto"/>
        <w:jc w:val="both"/>
        <w:rPr>
          <w:rFonts w:ascii="Times New Roman" w:eastAsia="Times New Roman" w:hAnsi="Times New Roman" w:cs="Times New Roman"/>
          <w:lang w:val="en-US"/>
        </w:rPr>
      </w:pPr>
    </w:p>
    <w:p w:rsidR="008600BC" w:rsidRPr="00845BE3" w:rsidRDefault="008600BC" w:rsidP="00887ECA">
      <w:pPr>
        <w:spacing w:line="276" w:lineRule="auto"/>
        <w:jc w:val="both"/>
        <w:rPr>
          <w:rFonts w:ascii="Times New Roman" w:eastAsia="Times New Roman" w:hAnsi="Times New Roman" w:cs="Times New Roman"/>
          <w:lang w:val="en-US"/>
        </w:rPr>
      </w:pPr>
    </w:p>
    <w:p w:rsidR="008600BC" w:rsidRPr="00845BE3" w:rsidRDefault="008600BC" w:rsidP="00887ECA">
      <w:pPr>
        <w:spacing w:line="276" w:lineRule="auto"/>
        <w:jc w:val="both"/>
        <w:rPr>
          <w:rFonts w:ascii="Times New Roman" w:eastAsia="Times New Roman" w:hAnsi="Times New Roman" w:cs="Times New Roman"/>
          <w:lang w:val="en-US"/>
        </w:rPr>
      </w:pPr>
    </w:p>
    <w:p w:rsidR="00B64D59" w:rsidRDefault="00B64D59" w:rsidP="00B64D59">
      <w:pPr>
        <w:spacing w:line="276" w:lineRule="auto"/>
        <w:jc w:val="center"/>
        <w:rPr>
          <w:rFonts w:ascii="Times New Roman" w:eastAsia="Times New Roman" w:hAnsi="Times New Roman" w:cs="Times New Roman"/>
          <w:b/>
          <w:sz w:val="28"/>
          <w:lang w:val="en-US"/>
        </w:rPr>
      </w:pPr>
    </w:p>
    <w:p w:rsidR="00B64D59" w:rsidRDefault="00B64D59" w:rsidP="00B64D59">
      <w:pPr>
        <w:spacing w:line="276" w:lineRule="auto"/>
        <w:jc w:val="center"/>
        <w:rPr>
          <w:rFonts w:ascii="Times New Roman" w:eastAsia="Times New Roman" w:hAnsi="Times New Roman" w:cs="Times New Roman"/>
          <w:b/>
          <w:sz w:val="28"/>
          <w:lang w:val="en-US"/>
        </w:rPr>
      </w:pPr>
    </w:p>
    <w:p w:rsidR="00360A48" w:rsidRPr="00D23C7E" w:rsidRDefault="009379E8" w:rsidP="00B64D59">
      <w:pPr>
        <w:spacing w:line="276" w:lineRule="auto"/>
        <w:jc w:val="center"/>
        <w:rPr>
          <w:rFonts w:ascii="Times New Roman" w:eastAsia="Times New Roman" w:hAnsi="Times New Roman" w:cs="Times New Roman"/>
          <w:b/>
          <w:sz w:val="28"/>
          <w:lang w:val="en-US"/>
        </w:rPr>
      </w:pPr>
      <w:r w:rsidRPr="00D23C7E">
        <w:rPr>
          <w:rFonts w:ascii="Times New Roman" w:eastAsia="Times New Roman" w:hAnsi="Times New Roman" w:cs="Times New Roman"/>
          <w:b/>
          <w:sz w:val="28"/>
          <w:lang w:val="en-US"/>
        </w:rPr>
        <w:t>NGO Submission to the United Nations Universal Periodic Review</w:t>
      </w:r>
    </w:p>
    <w:p w:rsidR="008600BC" w:rsidRPr="00D23C7E" w:rsidRDefault="00360A48" w:rsidP="00B64D59">
      <w:pPr>
        <w:spacing w:line="276" w:lineRule="auto"/>
        <w:jc w:val="center"/>
        <w:rPr>
          <w:rFonts w:ascii="Times New Roman" w:eastAsia="Times New Roman" w:hAnsi="Times New Roman" w:cs="Times New Roman"/>
          <w:b/>
          <w:sz w:val="28"/>
          <w:lang w:val="en-US"/>
        </w:rPr>
      </w:pPr>
      <w:r w:rsidRPr="00D23C7E">
        <w:rPr>
          <w:rFonts w:ascii="Times New Roman" w:eastAsia="Times New Roman" w:hAnsi="Times New Roman" w:cs="Times New Roman"/>
          <w:b/>
          <w:sz w:val="28"/>
          <w:lang w:val="en-US"/>
        </w:rPr>
        <w:t>for the Third Cycle of Turkey</w:t>
      </w:r>
    </w:p>
    <w:p w:rsidR="00360A48" w:rsidRPr="00D23C7E" w:rsidRDefault="00360A48" w:rsidP="00B64D59">
      <w:pPr>
        <w:spacing w:line="276" w:lineRule="auto"/>
        <w:jc w:val="center"/>
        <w:rPr>
          <w:rFonts w:ascii="Times New Roman" w:eastAsia="Times New Roman" w:hAnsi="Times New Roman" w:cs="Times New Roman"/>
          <w:b/>
          <w:i/>
          <w:sz w:val="28"/>
          <w:lang w:val="en-US"/>
        </w:rPr>
      </w:pPr>
    </w:p>
    <w:p w:rsidR="008600BC" w:rsidRPr="00D23C7E" w:rsidRDefault="009379E8" w:rsidP="00B64D59">
      <w:pPr>
        <w:spacing w:line="276" w:lineRule="auto"/>
        <w:jc w:val="center"/>
        <w:rPr>
          <w:rFonts w:ascii="Times New Roman" w:eastAsia="Times New Roman" w:hAnsi="Times New Roman" w:cs="Times New Roman"/>
          <w:b/>
          <w:i/>
          <w:sz w:val="28"/>
          <w:lang w:val="en-US"/>
        </w:rPr>
      </w:pPr>
      <w:r w:rsidRPr="00D23C7E">
        <w:rPr>
          <w:rFonts w:ascii="Times New Roman" w:eastAsia="Times New Roman" w:hAnsi="Times New Roman" w:cs="Times New Roman"/>
          <w:b/>
          <w:i/>
          <w:sz w:val="28"/>
          <w:lang w:val="en-US"/>
        </w:rPr>
        <w:t xml:space="preserve">Prepared and submitted </w:t>
      </w:r>
      <w:r w:rsidR="008600BC" w:rsidRPr="00D23C7E">
        <w:rPr>
          <w:rFonts w:ascii="Times New Roman" w:eastAsia="Times New Roman" w:hAnsi="Times New Roman" w:cs="Times New Roman"/>
          <w:b/>
          <w:i/>
          <w:sz w:val="28"/>
          <w:lang w:val="en-US"/>
        </w:rPr>
        <w:t>by</w:t>
      </w:r>
    </w:p>
    <w:p w:rsidR="008600BC" w:rsidRPr="00D23C7E" w:rsidRDefault="008600BC" w:rsidP="00B64D59">
      <w:pPr>
        <w:spacing w:line="276" w:lineRule="auto"/>
        <w:jc w:val="center"/>
        <w:rPr>
          <w:rFonts w:ascii="Times New Roman" w:eastAsia="Times New Roman" w:hAnsi="Times New Roman" w:cs="Times New Roman"/>
          <w:b/>
          <w:sz w:val="28"/>
          <w:lang w:val="en-US"/>
        </w:rPr>
      </w:pPr>
      <w:r w:rsidRPr="00D23C7E">
        <w:rPr>
          <w:rFonts w:ascii="Times New Roman" w:eastAsia="Times New Roman" w:hAnsi="Times New Roman" w:cs="Times New Roman"/>
          <w:b/>
          <w:sz w:val="28"/>
          <w:lang w:val="en-US"/>
        </w:rPr>
        <w:t>Association for Monitoring Equal Rights (AMER)</w:t>
      </w: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5B7E47" w:rsidRDefault="005B7E47" w:rsidP="00887ECA">
      <w:pPr>
        <w:spacing w:line="276" w:lineRule="auto"/>
        <w:jc w:val="both"/>
        <w:rPr>
          <w:rFonts w:ascii="Times New Roman" w:eastAsia="Times New Roman" w:hAnsi="Times New Roman" w:cs="Times New Roman"/>
          <w:b/>
          <w:lang w:val="en-US"/>
        </w:rPr>
      </w:pPr>
    </w:p>
    <w:p w:rsidR="005B7E47" w:rsidRDefault="005B7E47" w:rsidP="00887ECA">
      <w:pPr>
        <w:spacing w:line="276" w:lineRule="auto"/>
        <w:jc w:val="both"/>
        <w:rPr>
          <w:rFonts w:ascii="Times New Roman" w:eastAsia="Times New Roman" w:hAnsi="Times New Roman" w:cs="Times New Roman"/>
          <w:b/>
          <w:lang w:val="en-US"/>
        </w:rPr>
      </w:pPr>
    </w:p>
    <w:p w:rsidR="005B7E47" w:rsidRDefault="005B7E47"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E127A6" w:rsidRDefault="00E127A6" w:rsidP="00887ECA">
      <w:pPr>
        <w:spacing w:line="276" w:lineRule="auto"/>
        <w:jc w:val="both"/>
        <w:rPr>
          <w:rFonts w:ascii="Times New Roman" w:eastAsia="Times New Roman" w:hAnsi="Times New Roman" w:cs="Times New Roman"/>
          <w:b/>
          <w:lang w:val="en-US"/>
        </w:rPr>
      </w:pPr>
    </w:p>
    <w:p w:rsidR="00C00807" w:rsidRDefault="00C00807" w:rsidP="00887ECA">
      <w:pPr>
        <w:spacing w:line="276" w:lineRule="auto"/>
        <w:jc w:val="both"/>
        <w:rPr>
          <w:rFonts w:ascii="Times New Roman" w:eastAsia="Times New Roman" w:hAnsi="Times New Roman" w:cs="Times New Roman"/>
          <w:b/>
          <w:lang w:val="en-US"/>
        </w:rPr>
      </w:pPr>
    </w:p>
    <w:p w:rsidR="009379E8" w:rsidRDefault="009379E8" w:rsidP="00887ECA">
      <w:pPr>
        <w:spacing w:line="276" w:lineRule="auto"/>
        <w:jc w:val="both"/>
        <w:rPr>
          <w:rFonts w:ascii="Times New Roman" w:eastAsia="Times New Roman" w:hAnsi="Times New Roman" w:cs="Times New Roman"/>
          <w:b/>
          <w:lang w:val="en-US"/>
        </w:rPr>
      </w:pPr>
    </w:p>
    <w:p w:rsidR="009379E8" w:rsidRDefault="009379E8"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8600BC" w:rsidRDefault="008600BC" w:rsidP="00887ECA">
      <w:pPr>
        <w:spacing w:line="276" w:lineRule="auto"/>
        <w:jc w:val="both"/>
        <w:rPr>
          <w:rFonts w:ascii="Times New Roman" w:eastAsia="Times New Roman" w:hAnsi="Times New Roman" w:cs="Times New Roman"/>
          <w:b/>
          <w:lang w:val="en-US"/>
        </w:rPr>
      </w:pPr>
    </w:p>
    <w:p w:rsidR="002E32D5" w:rsidRDefault="002E32D5" w:rsidP="00887ECA">
      <w:pPr>
        <w:spacing w:line="276" w:lineRule="auto"/>
        <w:jc w:val="both"/>
        <w:rPr>
          <w:rFonts w:ascii="Times New Roman" w:eastAsia="Times New Roman" w:hAnsi="Times New Roman" w:cs="Times New Roman"/>
          <w:b/>
          <w:lang w:val="en-US"/>
        </w:rPr>
      </w:pPr>
    </w:p>
    <w:p w:rsidR="008600BC" w:rsidRPr="009379E8" w:rsidRDefault="008600BC" w:rsidP="00887ECA">
      <w:pPr>
        <w:spacing w:line="276" w:lineRule="auto"/>
        <w:jc w:val="both"/>
        <w:rPr>
          <w:rFonts w:ascii="Times New Roman" w:eastAsia="Times New Roman" w:hAnsi="Times New Roman" w:cs="Times New Roman"/>
          <w:b/>
          <w:lang w:val="en-US"/>
        </w:rPr>
      </w:pPr>
      <w:r w:rsidRPr="00845BE3">
        <w:rPr>
          <w:rFonts w:ascii="Times New Roman" w:eastAsia="Times New Roman" w:hAnsi="Times New Roman" w:cs="Times New Roman"/>
          <w:b/>
          <w:lang w:val="en-US"/>
        </w:rPr>
        <w:t>The Association for Monitoring Equal Rights - AMER) (</w:t>
      </w:r>
      <w:proofErr w:type="spellStart"/>
      <w:r w:rsidRPr="00845BE3">
        <w:rPr>
          <w:rFonts w:ascii="Times New Roman" w:eastAsia="Times New Roman" w:hAnsi="Times New Roman" w:cs="Times New Roman"/>
          <w:b/>
          <w:i/>
          <w:lang w:val="en-US"/>
        </w:rPr>
        <w:t>Eşit</w:t>
      </w:r>
      <w:proofErr w:type="spellEnd"/>
      <w:r w:rsidRPr="00845BE3">
        <w:rPr>
          <w:rFonts w:ascii="Times New Roman" w:eastAsia="Times New Roman" w:hAnsi="Times New Roman" w:cs="Times New Roman"/>
          <w:b/>
          <w:i/>
          <w:lang w:val="en-US"/>
        </w:rPr>
        <w:t xml:space="preserve"> </w:t>
      </w:r>
      <w:proofErr w:type="spellStart"/>
      <w:r w:rsidRPr="00845BE3">
        <w:rPr>
          <w:rFonts w:ascii="Times New Roman" w:eastAsia="Times New Roman" w:hAnsi="Times New Roman" w:cs="Times New Roman"/>
          <w:b/>
          <w:i/>
          <w:lang w:val="en-US"/>
        </w:rPr>
        <w:t>Haklar</w:t>
      </w:r>
      <w:proofErr w:type="spellEnd"/>
      <w:r w:rsidRPr="00845BE3">
        <w:rPr>
          <w:rFonts w:ascii="Times New Roman" w:eastAsia="Times New Roman" w:hAnsi="Times New Roman" w:cs="Times New Roman"/>
          <w:b/>
          <w:i/>
          <w:lang w:val="en-US"/>
        </w:rPr>
        <w:t xml:space="preserve"> </w:t>
      </w:r>
      <w:proofErr w:type="spellStart"/>
      <w:r w:rsidRPr="00845BE3">
        <w:rPr>
          <w:rFonts w:ascii="Times New Roman" w:eastAsia="Times New Roman" w:hAnsi="Times New Roman" w:cs="Times New Roman"/>
          <w:b/>
          <w:i/>
          <w:lang w:val="en-US"/>
        </w:rPr>
        <w:t>İçin</w:t>
      </w:r>
      <w:proofErr w:type="spellEnd"/>
      <w:r w:rsidRPr="00845BE3">
        <w:rPr>
          <w:rFonts w:ascii="Times New Roman" w:eastAsia="Times New Roman" w:hAnsi="Times New Roman" w:cs="Times New Roman"/>
          <w:b/>
          <w:i/>
          <w:lang w:val="en-US"/>
        </w:rPr>
        <w:t xml:space="preserve"> </w:t>
      </w:r>
      <w:proofErr w:type="spellStart"/>
      <w:r w:rsidRPr="00845BE3">
        <w:rPr>
          <w:rFonts w:ascii="Times New Roman" w:eastAsia="Times New Roman" w:hAnsi="Times New Roman" w:cs="Times New Roman"/>
          <w:b/>
          <w:i/>
          <w:lang w:val="en-US"/>
        </w:rPr>
        <w:t>İzleme</w:t>
      </w:r>
      <w:proofErr w:type="spellEnd"/>
      <w:r w:rsidRPr="00845BE3">
        <w:rPr>
          <w:rFonts w:ascii="Times New Roman" w:eastAsia="Times New Roman" w:hAnsi="Times New Roman" w:cs="Times New Roman"/>
          <w:b/>
          <w:i/>
          <w:lang w:val="en-US"/>
        </w:rPr>
        <w:t xml:space="preserve"> </w:t>
      </w:r>
      <w:proofErr w:type="spellStart"/>
      <w:r w:rsidRPr="00845BE3">
        <w:rPr>
          <w:rFonts w:ascii="Times New Roman" w:eastAsia="Times New Roman" w:hAnsi="Times New Roman" w:cs="Times New Roman"/>
          <w:b/>
          <w:i/>
          <w:lang w:val="en-US"/>
        </w:rPr>
        <w:t>Derneği</w:t>
      </w:r>
      <w:proofErr w:type="spellEnd"/>
      <w:r w:rsidRPr="00845BE3">
        <w:rPr>
          <w:rFonts w:ascii="Times New Roman" w:eastAsia="Times New Roman" w:hAnsi="Times New Roman" w:cs="Times New Roman"/>
          <w:b/>
          <w:i/>
          <w:lang w:val="en-US"/>
        </w:rPr>
        <w:t xml:space="preserve"> - ESH</w:t>
      </w:r>
      <w:r w:rsidR="00BC6291">
        <w:rPr>
          <w:rFonts w:ascii="Times New Roman" w:eastAsia="Times New Roman" w:hAnsi="Times New Roman" w:cs="Times New Roman"/>
          <w:b/>
          <w:i/>
          <w:lang w:val="en-US"/>
        </w:rPr>
        <w:t>I</w:t>
      </w:r>
      <w:r w:rsidRPr="00845BE3">
        <w:rPr>
          <w:rFonts w:ascii="Times New Roman" w:eastAsia="Times New Roman" w:hAnsi="Times New Roman" w:cs="Times New Roman"/>
          <w:b/>
          <w:i/>
          <w:lang w:val="en-US"/>
        </w:rPr>
        <w:t>D</w:t>
      </w:r>
      <w:r w:rsidRPr="00845BE3">
        <w:rPr>
          <w:rFonts w:ascii="Times New Roman" w:eastAsia="Times New Roman" w:hAnsi="Times New Roman" w:cs="Times New Roman"/>
          <w:b/>
          <w:lang w:val="en-US"/>
        </w:rPr>
        <w:t xml:space="preserve">) </w:t>
      </w:r>
      <w:r w:rsidRPr="00845BE3">
        <w:rPr>
          <w:rFonts w:ascii="Times New Roman" w:eastAsia="Times New Roman" w:hAnsi="Times New Roman" w:cs="Times New Roman"/>
          <w:lang w:val="en-US"/>
        </w:rPr>
        <w:t>was established in October 2010 to monitor and combat discrimination in society, to enable equal rights for each person belonging to disadvantaged groups. AMER carries out all its monitoring and reporting activities in consultation and partnership with national and grassroots civil society organizations (CSOs) which work with various disadvantaged groups including women, persons with disabilities, different ethnic and religious minority groups in different parts of Turkey. AMER has been observing every election since 2011 in terms of equal access of disadvantaged groups within society, as well as reporting discrimination with regards to the enjoyment of human rights.</w:t>
      </w:r>
      <w:r w:rsidR="00542693">
        <w:rPr>
          <w:rFonts w:ascii="Times New Roman" w:eastAsia="Times New Roman" w:hAnsi="Times New Roman" w:cs="Times New Roman"/>
          <w:lang w:val="en-US"/>
        </w:rPr>
        <w:t xml:space="preserve"> Since 2015, AMER has been the only CSO in Turkey systematically monitoring freedom of assembly.</w:t>
      </w:r>
      <w:r w:rsidRPr="00845BE3">
        <w:rPr>
          <w:rFonts w:ascii="Times New Roman" w:eastAsia="Times New Roman" w:hAnsi="Times New Roman" w:cs="Times New Roman"/>
          <w:lang w:val="en-US"/>
        </w:rPr>
        <w:t xml:space="preserve"> Since 2016, AMER has been working on access to justice for persons with disabilities in Turkey. Prior to this report, AMER has submitted an Alternative Country Report on Turkey for the</w:t>
      </w:r>
      <w:r w:rsidR="001E64FD">
        <w:rPr>
          <w:rFonts w:ascii="Times New Roman" w:eastAsia="Times New Roman" w:hAnsi="Times New Roman" w:cs="Times New Roman"/>
          <w:lang w:val="en-US"/>
        </w:rPr>
        <w:t xml:space="preserve"> 21</w:t>
      </w:r>
      <w:r w:rsidR="001E64FD" w:rsidRPr="001E64FD">
        <w:rPr>
          <w:rFonts w:ascii="Times New Roman" w:eastAsia="Times New Roman" w:hAnsi="Times New Roman" w:cs="Times New Roman"/>
          <w:vertAlign w:val="superscript"/>
          <w:lang w:val="en-US"/>
        </w:rPr>
        <w:t>st</w:t>
      </w:r>
      <w:r w:rsidR="001E64FD">
        <w:rPr>
          <w:rFonts w:ascii="Times New Roman" w:eastAsia="Times New Roman" w:hAnsi="Times New Roman" w:cs="Times New Roman"/>
          <w:lang w:val="en-US"/>
        </w:rPr>
        <w:t xml:space="preserve"> session of the CRPD, and the </w:t>
      </w:r>
      <w:r w:rsidRPr="00845BE3">
        <w:rPr>
          <w:rFonts w:ascii="Times New Roman" w:eastAsia="Times New Roman" w:hAnsi="Times New Roman" w:cs="Times New Roman"/>
          <w:lang w:val="en-US"/>
        </w:rPr>
        <w:t>88</w:t>
      </w:r>
      <w:r w:rsidRPr="00845BE3">
        <w:rPr>
          <w:rFonts w:ascii="Times New Roman" w:eastAsia="Times New Roman" w:hAnsi="Times New Roman" w:cs="Times New Roman"/>
          <w:vertAlign w:val="superscript"/>
          <w:lang w:val="en-US"/>
        </w:rPr>
        <w:t>th</w:t>
      </w:r>
      <w:r w:rsidRPr="00845BE3">
        <w:rPr>
          <w:rFonts w:ascii="Times New Roman" w:eastAsia="Times New Roman" w:hAnsi="Times New Roman" w:cs="Times New Roman"/>
          <w:lang w:val="en-US"/>
        </w:rPr>
        <w:t xml:space="preserve"> CERD Meeting in 2015</w:t>
      </w:r>
      <w:r w:rsidR="001E64FD">
        <w:rPr>
          <w:rFonts w:ascii="Times New Roman" w:eastAsia="Times New Roman" w:hAnsi="Times New Roman" w:cs="Times New Roman"/>
          <w:lang w:val="en-US"/>
        </w:rPr>
        <w:t>.</w:t>
      </w:r>
    </w:p>
    <w:p w:rsidR="002E32D5" w:rsidRDefault="002E32D5" w:rsidP="00887ECA">
      <w:pPr>
        <w:spacing w:after="0" w:line="276" w:lineRule="auto"/>
        <w:jc w:val="both"/>
        <w:rPr>
          <w:rStyle w:val="Kpr"/>
          <w:rFonts w:ascii="Times New Roman" w:eastAsia="Times New Roman" w:hAnsi="Times New Roman" w:cs="Times New Roman"/>
          <w:b/>
          <w:bCs/>
          <w:color w:val="auto"/>
          <w:u w:val="none"/>
          <w:lang w:val="en-US"/>
        </w:rPr>
      </w:pPr>
    </w:p>
    <w:p w:rsidR="008600BC" w:rsidRPr="00845BE3" w:rsidRDefault="002E32D5" w:rsidP="00887ECA">
      <w:pPr>
        <w:spacing w:after="0" w:line="276" w:lineRule="auto"/>
        <w:jc w:val="both"/>
        <w:rPr>
          <w:rFonts w:ascii="Times New Roman" w:eastAsia="Times New Roman" w:hAnsi="Times New Roman" w:cs="Times New Roman"/>
          <w:lang w:val="en-US"/>
        </w:rPr>
      </w:pPr>
      <w:r>
        <w:rPr>
          <w:rStyle w:val="Kpr"/>
          <w:rFonts w:ascii="Times New Roman" w:eastAsia="Times New Roman" w:hAnsi="Times New Roman" w:cs="Times New Roman"/>
          <w:b/>
          <w:bCs/>
          <w:color w:val="auto"/>
          <w:u w:val="none"/>
          <w:lang w:val="en-US"/>
        </w:rPr>
        <w:t>w</w:t>
      </w:r>
      <w:r w:rsidRPr="002E32D5">
        <w:rPr>
          <w:rStyle w:val="Kpr"/>
          <w:rFonts w:ascii="Times New Roman" w:eastAsia="Times New Roman" w:hAnsi="Times New Roman" w:cs="Times New Roman"/>
          <w:b/>
          <w:bCs/>
          <w:color w:val="auto"/>
          <w:u w:val="none"/>
          <w:lang w:val="en-US"/>
        </w:rPr>
        <w:t>ebsite:</w:t>
      </w:r>
      <w:r>
        <w:t xml:space="preserve"> </w:t>
      </w:r>
      <w:hyperlink r:id="rId9" w:history="1">
        <w:r w:rsidRPr="00751E11">
          <w:rPr>
            <w:rStyle w:val="Kpr"/>
            <w:rFonts w:ascii="Times New Roman" w:eastAsia="Times New Roman" w:hAnsi="Times New Roman" w:cs="Times New Roman"/>
            <w:lang w:val="en-US"/>
          </w:rPr>
          <w:t>www.esithaklar.org</w:t>
        </w:r>
      </w:hyperlink>
      <w:r w:rsidR="008600BC" w:rsidRPr="00845BE3">
        <w:rPr>
          <w:rFonts w:ascii="Times New Roman" w:eastAsia="Times New Roman" w:hAnsi="Times New Roman" w:cs="Times New Roman"/>
          <w:lang w:val="en-US"/>
        </w:rPr>
        <w:t xml:space="preserve"> </w:t>
      </w:r>
    </w:p>
    <w:p w:rsidR="008600BC" w:rsidRPr="00845BE3" w:rsidRDefault="008600BC" w:rsidP="00887ECA">
      <w:pPr>
        <w:spacing w:after="0" w:line="276" w:lineRule="auto"/>
        <w:jc w:val="both"/>
        <w:rPr>
          <w:rFonts w:ascii="Times New Roman" w:eastAsia="Times New Roman" w:hAnsi="Times New Roman" w:cs="Times New Roman"/>
          <w:lang w:val="en-US"/>
        </w:rPr>
      </w:pPr>
      <w:r w:rsidRPr="002E32D5">
        <w:rPr>
          <w:rFonts w:ascii="Times New Roman" w:eastAsia="Times New Roman" w:hAnsi="Times New Roman" w:cs="Times New Roman"/>
          <w:b/>
          <w:bCs/>
          <w:lang w:val="en-US"/>
        </w:rPr>
        <w:t>e-mail:</w:t>
      </w:r>
      <w:r w:rsidRPr="00845BE3">
        <w:rPr>
          <w:rFonts w:ascii="Times New Roman" w:eastAsia="Times New Roman" w:hAnsi="Times New Roman" w:cs="Times New Roman"/>
          <w:lang w:val="en-US"/>
        </w:rPr>
        <w:t xml:space="preserve"> </w:t>
      </w:r>
      <w:hyperlink r:id="rId10" w:history="1">
        <w:r w:rsidR="00D23C7E" w:rsidRPr="006D03EA">
          <w:rPr>
            <w:rStyle w:val="Kpr"/>
            <w:rFonts w:ascii="Times New Roman" w:eastAsia="Times New Roman" w:hAnsi="Times New Roman" w:cs="Times New Roman"/>
            <w:lang w:val="en-US"/>
          </w:rPr>
          <w:t>esithaklar@gmail.com</w:t>
        </w:r>
      </w:hyperlink>
      <w:r w:rsidR="00D23C7E">
        <w:rPr>
          <w:rFonts w:ascii="Times New Roman" w:eastAsia="Times New Roman" w:hAnsi="Times New Roman" w:cs="Times New Roman"/>
          <w:lang w:val="en-US"/>
        </w:rPr>
        <w:t xml:space="preserve">, </w:t>
      </w:r>
      <w:hyperlink r:id="rId11" w:history="1">
        <w:r w:rsidR="00D23C7E" w:rsidRPr="00D23C7E">
          <w:rPr>
            <w:rStyle w:val="Kpr"/>
            <w:rFonts w:ascii="Times New Roman" w:eastAsia="Times New Roman" w:hAnsi="Times New Roman" w:cs="Times New Roman"/>
            <w:lang w:val="en-US"/>
          </w:rPr>
          <w:t>info@esithaklar.org</w:t>
        </w:r>
      </w:hyperlink>
    </w:p>
    <w:p w:rsidR="008600BC" w:rsidRPr="00845BE3" w:rsidRDefault="008600BC" w:rsidP="00887ECA">
      <w:pPr>
        <w:spacing w:after="0" w:line="276" w:lineRule="auto"/>
        <w:jc w:val="both"/>
        <w:rPr>
          <w:rFonts w:ascii="Times New Roman" w:eastAsia="Times New Roman" w:hAnsi="Times New Roman" w:cs="Times New Roman"/>
          <w:lang w:val="en-US"/>
        </w:rPr>
      </w:pPr>
      <w:r w:rsidRPr="002E32D5">
        <w:rPr>
          <w:rFonts w:ascii="Times New Roman" w:eastAsia="Times New Roman" w:hAnsi="Times New Roman" w:cs="Times New Roman"/>
          <w:b/>
          <w:bCs/>
          <w:lang w:val="en-US"/>
        </w:rPr>
        <w:t>Phone:</w:t>
      </w:r>
      <w:r w:rsidRPr="00845BE3">
        <w:rPr>
          <w:rFonts w:ascii="Times New Roman" w:eastAsia="Times New Roman" w:hAnsi="Times New Roman" w:cs="Times New Roman"/>
          <w:lang w:val="en-US"/>
        </w:rPr>
        <w:t xml:space="preserve"> +90 212 293 63 77</w:t>
      </w:r>
      <w:r w:rsidRPr="00845BE3">
        <w:rPr>
          <w:rFonts w:ascii="Times New Roman" w:eastAsia="Times New Roman" w:hAnsi="Times New Roman" w:cs="Times New Roman"/>
          <w:lang w:val="en-US"/>
        </w:rPr>
        <w:tab/>
      </w:r>
    </w:p>
    <w:p w:rsidR="00360A48" w:rsidRDefault="00360A48" w:rsidP="00887ECA">
      <w:pPr>
        <w:spacing w:after="0" w:line="276" w:lineRule="auto"/>
        <w:jc w:val="both"/>
        <w:rPr>
          <w:rFonts w:asciiTheme="majorHAnsi" w:eastAsiaTheme="majorEastAsia" w:hAnsiTheme="majorHAnsi" w:cstheme="majorBidi"/>
          <w:b/>
          <w:color w:val="2E74B5" w:themeColor="accent1" w:themeShade="BF"/>
          <w:sz w:val="28"/>
          <w:szCs w:val="32"/>
          <w:lang w:val="en-GB"/>
        </w:rPr>
      </w:pPr>
      <w:r>
        <w:rPr>
          <w:b/>
          <w:sz w:val="28"/>
          <w:lang w:val="en-GB"/>
        </w:rPr>
        <w:br w:type="page"/>
      </w:r>
    </w:p>
    <w:p w:rsidR="00B64D59" w:rsidRDefault="00B64D59" w:rsidP="00887ECA">
      <w:pPr>
        <w:spacing w:line="276" w:lineRule="auto"/>
        <w:jc w:val="both"/>
        <w:rPr>
          <w:rFonts w:asciiTheme="majorHAnsi" w:eastAsiaTheme="majorEastAsia" w:hAnsiTheme="majorHAnsi" w:cstheme="majorBidi"/>
          <w:b/>
          <w:color w:val="2E74B5" w:themeColor="accent1" w:themeShade="BF"/>
          <w:sz w:val="28"/>
          <w:szCs w:val="32"/>
          <w:lang w:val="en-GB"/>
        </w:rPr>
      </w:pPr>
    </w:p>
    <w:p w:rsidR="00137C5E" w:rsidRDefault="00137C5E" w:rsidP="00887ECA">
      <w:pPr>
        <w:spacing w:line="276" w:lineRule="auto"/>
        <w:jc w:val="both"/>
        <w:rPr>
          <w:rFonts w:asciiTheme="majorHAnsi" w:eastAsiaTheme="majorEastAsia" w:hAnsiTheme="majorHAnsi" w:cstheme="majorBidi"/>
          <w:b/>
          <w:color w:val="2E74B5" w:themeColor="accent1" w:themeShade="BF"/>
          <w:sz w:val="28"/>
          <w:szCs w:val="32"/>
          <w:lang w:val="en-GB"/>
        </w:rPr>
      </w:pPr>
      <w:r w:rsidRPr="00137C5E">
        <w:rPr>
          <w:rFonts w:asciiTheme="majorHAnsi" w:eastAsiaTheme="majorEastAsia" w:hAnsiTheme="majorHAnsi" w:cstheme="majorBidi"/>
          <w:b/>
          <w:color w:val="2E74B5" w:themeColor="accent1" w:themeShade="BF"/>
          <w:sz w:val="28"/>
          <w:szCs w:val="32"/>
          <w:lang w:val="en-GB"/>
        </w:rPr>
        <w:t>Abbreviations</w:t>
      </w:r>
    </w:p>
    <w:p w:rsidR="00A7694E" w:rsidRDefault="00A7694E" w:rsidP="00887ECA">
      <w:pPr>
        <w:spacing w:line="276" w:lineRule="auto"/>
        <w:jc w:val="both"/>
        <w:rPr>
          <w:b/>
          <w:sz w:val="28"/>
          <w:lang w:val="en-GB"/>
        </w:rPr>
      </w:pPr>
    </w:p>
    <w:p w:rsidR="00B64D59" w:rsidRDefault="00B64D59" w:rsidP="00887ECA">
      <w:pPr>
        <w:spacing w:line="276" w:lineRule="auto"/>
        <w:jc w:val="both"/>
        <w:rPr>
          <w:rFonts w:ascii="Arial" w:hAnsi="Arial" w:cs="Arial"/>
          <w:lang w:val="en-GB"/>
        </w:rPr>
      </w:pPr>
    </w:p>
    <w:p w:rsidR="00B64D59" w:rsidRDefault="00B64D59" w:rsidP="00887ECA">
      <w:pPr>
        <w:spacing w:line="276" w:lineRule="auto"/>
        <w:jc w:val="both"/>
        <w:rPr>
          <w:rFonts w:ascii="Arial" w:hAnsi="Arial" w:cs="Arial"/>
          <w:lang w:val="en-GB"/>
        </w:rPr>
      </w:pPr>
    </w:p>
    <w:p w:rsidR="009544A0" w:rsidRDefault="009544A0" w:rsidP="00887ECA">
      <w:pPr>
        <w:spacing w:line="276" w:lineRule="auto"/>
        <w:jc w:val="both"/>
        <w:rPr>
          <w:rFonts w:ascii="Arial" w:hAnsi="Arial" w:cs="Arial"/>
          <w:lang w:val="en-GB"/>
        </w:rPr>
      </w:pPr>
      <w:r>
        <w:rPr>
          <w:rFonts w:ascii="Arial" w:hAnsi="Arial" w:cs="Arial"/>
          <w:lang w:val="en-GB"/>
        </w:rPr>
        <w:t>CRC</w:t>
      </w:r>
      <w:r w:rsidRPr="00B451F9">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sidRPr="008D358A">
        <w:rPr>
          <w:rFonts w:ascii="Arial" w:hAnsi="Arial" w:cs="Arial"/>
          <w:lang w:val="en-GB"/>
        </w:rPr>
        <w:t>Convention on the Rights of the Child</w:t>
      </w:r>
    </w:p>
    <w:p w:rsidR="001360E5" w:rsidRDefault="001360E5" w:rsidP="00887ECA">
      <w:pPr>
        <w:spacing w:line="276" w:lineRule="auto"/>
        <w:jc w:val="both"/>
        <w:rPr>
          <w:rFonts w:ascii="Arial" w:hAnsi="Arial" w:cs="Arial"/>
          <w:lang w:val="en-GB"/>
        </w:rPr>
      </w:pPr>
      <w:r>
        <w:rPr>
          <w:rFonts w:ascii="Arial" w:hAnsi="Arial" w:cs="Arial"/>
          <w:lang w:val="en-GB"/>
        </w:rPr>
        <w:t>CSO</w:t>
      </w:r>
      <w:r>
        <w:rPr>
          <w:rFonts w:ascii="Arial" w:hAnsi="Arial" w:cs="Arial"/>
          <w:lang w:val="en-GB"/>
        </w:rPr>
        <w:tab/>
      </w:r>
      <w:r>
        <w:rPr>
          <w:rFonts w:ascii="Arial" w:hAnsi="Arial" w:cs="Arial"/>
          <w:lang w:val="en-GB"/>
        </w:rPr>
        <w:tab/>
      </w:r>
      <w:r>
        <w:rPr>
          <w:rFonts w:ascii="Arial" w:hAnsi="Arial" w:cs="Arial"/>
          <w:lang w:val="en-GB"/>
        </w:rPr>
        <w:tab/>
        <w:t>Civil Society Organisation</w:t>
      </w:r>
    </w:p>
    <w:p w:rsidR="001360E5" w:rsidRDefault="001360E5" w:rsidP="00887ECA">
      <w:pPr>
        <w:spacing w:line="276" w:lineRule="auto"/>
        <w:jc w:val="both"/>
        <w:rPr>
          <w:rFonts w:ascii="Arial" w:hAnsi="Arial" w:cs="Arial"/>
          <w:lang w:val="en-GB"/>
        </w:rPr>
      </w:pPr>
      <w:r>
        <w:rPr>
          <w:rFonts w:ascii="Arial" w:hAnsi="Arial" w:cs="Arial"/>
          <w:lang w:val="en-GB"/>
        </w:rPr>
        <w:t>DPO</w:t>
      </w:r>
      <w:r>
        <w:rPr>
          <w:rFonts w:ascii="Arial" w:hAnsi="Arial" w:cs="Arial"/>
          <w:lang w:val="en-GB"/>
        </w:rPr>
        <w:tab/>
      </w:r>
      <w:r>
        <w:rPr>
          <w:rFonts w:ascii="Arial" w:hAnsi="Arial" w:cs="Arial"/>
          <w:lang w:val="en-GB"/>
        </w:rPr>
        <w:tab/>
      </w:r>
      <w:r>
        <w:rPr>
          <w:rFonts w:ascii="Arial" w:hAnsi="Arial" w:cs="Arial"/>
          <w:lang w:val="en-GB"/>
        </w:rPr>
        <w:tab/>
        <w:t>Disabled People’s Organisation</w:t>
      </w:r>
    </w:p>
    <w:p w:rsidR="00331894" w:rsidRDefault="00331894" w:rsidP="00887ECA">
      <w:pPr>
        <w:spacing w:line="276" w:lineRule="auto"/>
        <w:jc w:val="both"/>
        <w:rPr>
          <w:b/>
          <w:sz w:val="28"/>
          <w:lang w:val="en-GB"/>
        </w:rPr>
      </w:pPr>
      <w:r>
        <w:rPr>
          <w:rFonts w:ascii="Arial" w:hAnsi="Arial" w:cs="Arial"/>
          <w:lang w:val="en-GB"/>
        </w:rPr>
        <w:t>ECHR</w:t>
      </w:r>
      <w:r>
        <w:rPr>
          <w:rFonts w:ascii="Arial" w:hAnsi="Arial" w:cs="Arial"/>
          <w:lang w:val="en-GB"/>
        </w:rPr>
        <w:tab/>
      </w:r>
      <w:r>
        <w:rPr>
          <w:rFonts w:ascii="Arial" w:hAnsi="Arial" w:cs="Arial"/>
          <w:lang w:val="en-GB"/>
        </w:rPr>
        <w:tab/>
      </w:r>
      <w:r>
        <w:rPr>
          <w:rFonts w:ascii="Arial" w:hAnsi="Arial" w:cs="Arial"/>
          <w:lang w:val="en-GB"/>
        </w:rPr>
        <w:tab/>
        <w:t>European Convention on Human Rights</w:t>
      </w:r>
    </w:p>
    <w:p w:rsidR="00A315CC" w:rsidRDefault="00A315CC" w:rsidP="00887ECA">
      <w:pPr>
        <w:spacing w:line="276" w:lineRule="auto"/>
        <w:jc w:val="both"/>
        <w:rPr>
          <w:rFonts w:ascii="Arial" w:hAnsi="Arial" w:cs="Arial"/>
          <w:lang w:val="en-GB"/>
        </w:rPr>
      </w:pPr>
      <w:r w:rsidRPr="00732AC3">
        <w:rPr>
          <w:rFonts w:ascii="Arial" w:hAnsi="Arial" w:cs="Arial"/>
          <w:lang w:val="en-GB"/>
        </w:rPr>
        <w:t>ECtHR</w:t>
      </w:r>
      <w:r>
        <w:rPr>
          <w:rFonts w:ascii="Arial" w:hAnsi="Arial" w:cs="Arial"/>
          <w:lang w:val="en-GB"/>
        </w:rPr>
        <w:tab/>
      </w:r>
      <w:r>
        <w:rPr>
          <w:rFonts w:ascii="Arial" w:hAnsi="Arial" w:cs="Arial"/>
          <w:lang w:val="en-GB"/>
        </w:rPr>
        <w:tab/>
      </w:r>
      <w:r>
        <w:rPr>
          <w:rFonts w:ascii="Arial" w:hAnsi="Arial" w:cs="Arial"/>
          <w:lang w:val="en-GB"/>
        </w:rPr>
        <w:tab/>
        <w:t>European Court of Human Rights</w:t>
      </w:r>
    </w:p>
    <w:p w:rsidR="00275BA5" w:rsidRDefault="00331894" w:rsidP="00887ECA">
      <w:pPr>
        <w:spacing w:line="276" w:lineRule="auto"/>
        <w:jc w:val="both"/>
        <w:rPr>
          <w:rFonts w:ascii="Arial" w:hAnsi="Arial" w:cs="Arial"/>
          <w:lang w:val="en-GB"/>
        </w:rPr>
      </w:pPr>
      <w:r>
        <w:rPr>
          <w:rFonts w:ascii="Arial" w:hAnsi="Arial" w:cs="Arial"/>
          <w:lang w:val="en-GB"/>
        </w:rPr>
        <w:t>IC</w:t>
      </w:r>
      <w:r w:rsidR="00275BA5">
        <w:rPr>
          <w:rFonts w:ascii="Arial" w:hAnsi="Arial" w:cs="Arial"/>
          <w:lang w:val="en-GB"/>
        </w:rPr>
        <w:t>CPR</w:t>
      </w:r>
      <w:r>
        <w:rPr>
          <w:rFonts w:ascii="Arial" w:hAnsi="Arial" w:cs="Arial"/>
          <w:lang w:val="en-GB"/>
        </w:rPr>
        <w:tab/>
      </w:r>
      <w:r>
        <w:rPr>
          <w:rFonts w:ascii="Arial" w:hAnsi="Arial" w:cs="Arial"/>
          <w:lang w:val="en-GB"/>
        </w:rPr>
        <w:tab/>
      </w:r>
      <w:r w:rsidR="008D358A">
        <w:rPr>
          <w:rFonts w:ascii="Arial" w:hAnsi="Arial" w:cs="Arial"/>
          <w:lang w:val="en-GB"/>
        </w:rPr>
        <w:tab/>
      </w:r>
      <w:r w:rsidR="008D358A" w:rsidRPr="008D358A">
        <w:rPr>
          <w:rFonts w:ascii="Arial" w:hAnsi="Arial" w:cs="Arial"/>
          <w:lang w:val="en-GB"/>
        </w:rPr>
        <w:t>International Covenant on Civil and Political Rights</w:t>
      </w:r>
    </w:p>
    <w:p w:rsidR="00275BA5" w:rsidRDefault="00331894" w:rsidP="00887ECA">
      <w:pPr>
        <w:spacing w:line="276" w:lineRule="auto"/>
        <w:jc w:val="both"/>
        <w:rPr>
          <w:rFonts w:ascii="Arial" w:hAnsi="Arial" w:cs="Arial"/>
          <w:lang w:val="en-GB"/>
        </w:rPr>
      </w:pPr>
      <w:r>
        <w:rPr>
          <w:rFonts w:ascii="Arial" w:hAnsi="Arial" w:cs="Arial"/>
          <w:lang w:val="en-GB"/>
        </w:rPr>
        <w:t>I</w:t>
      </w:r>
      <w:r w:rsidR="00275BA5">
        <w:rPr>
          <w:rFonts w:ascii="Arial" w:hAnsi="Arial" w:cs="Arial"/>
          <w:lang w:val="en-GB"/>
        </w:rPr>
        <w:t xml:space="preserve">CESCR </w:t>
      </w:r>
      <w:r w:rsidR="008D358A">
        <w:rPr>
          <w:rFonts w:ascii="Arial" w:hAnsi="Arial" w:cs="Arial"/>
          <w:lang w:val="en-GB"/>
        </w:rPr>
        <w:tab/>
      </w:r>
      <w:r w:rsidR="008D358A">
        <w:rPr>
          <w:rFonts w:ascii="Arial" w:hAnsi="Arial" w:cs="Arial"/>
          <w:lang w:val="en-GB"/>
        </w:rPr>
        <w:tab/>
      </w:r>
      <w:r w:rsidR="008D358A" w:rsidRPr="008D358A">
        <w:rPr>
          <w:rFonts w:ascii="Arial" w:hAnsi="Arial" w:cs="Arial"/>
          <w:lang w:val="en-GB"/>
        </w:rPr>
        <w:t>International Covenant on Economic, Social and Cultural Rights</w:t>
      </w:r>
    </w:p>
    <w:p w:rsidR="00A44DDF" w:rsidRDefault="00A44DDF" w:rsidP="00887ECA">
      <w:pPr>
        <w:spacing w:line="276" w:lineRule="auto"/>
        <w:jc w:val="both"/>
        <w:rPr>
          <w:rFonts w:ascii="Arial" w:hAnsi="Arial" w:cs="Arial"/>
          <w:lang w:val="en-GB"/>
        </w:rPr>
      </w:pPr>
      <w:r>
        <w:rPr>
          <w:rFonts w:ascii="Arial" w:hAnsi="Arial" w:cs="Arial"/>
          <w:lang w:val="en-GB"/>
        </w:rPr>
        <w:t>SEC</w:t>
      </w:r>
      <w:r>
        <w:rPr>
          <w:rFonts w:ascii="Arial" w:hAnsi="Arial" w:cs="Arial"/>
          <w:lang w:val="en-GB"/>
        </w:rPr>
        <w:tab/>
      </w:r>
      <w:r>
        <w:rPr>
          <w:rFonts w:ascii="Arial" w:hAnsi="Arial" w:cs="Arial"/>
          <w:lang w:val="en-GB"/>
        </w:rPr>
        <w:tab/>
      </w:r>
      <w:r>
        <w:rPr>
          <w:rFonts w:ascii="Arial" w:hAnsi="Arial" w:cs="Arial"/>
          <w:lang w:val="en-GB"/>
        </w:rPr>
        <w:tab/>
      </w:r>
      <w:r w:rsidRPr="00B9585F">
        <w:rPr>
          <w:rFonts w:ascii="Arial" w:hAnsi="Arial" w:cs="Arial"/>
          <w:lang w:val="en-GB"/>
        </w:rPr>
        <w:t xml:space="preserve">Supreme </w:t>
      </w:r>
      <w:r>
        <w:rPr>
          <w:rFonts w:ascii="Arial" w:hAnsi="Arial" w:cs="Arial"/>
          <w:lang w:val="en-GB"/>
        </w:rPr>
        <w:t>Electoral Council</w:t>
      </w:r>
    </w:p>
    <w:p w:rsidR="002A7C73" w:rsidRPr="008D358A" w:rsidRDefault="002A7C73" w:rsidP="00887ECA">
      <w:pPr>
        <w:spacing w:line="276" w:lineRule="auto"/>
        <w:jc w:val="both"/>
        <w:rPr>
          <w:rFonts w:ascii="Arial" w:hAnsi="Arial" w:cs="Arial"/>
          <w:lang w:val="en-GB"/>
        </w:rPr>
      </w:pPr>
      <w:r w:rsidRPr="008D358A">
        <w:rPr>
          <w:rFonts w:ascii="Arial" w:hAnsi="Arial" w:cs="Arial"/>
          <w:lang w:val="en-GB"/>
        </w:rPr>
        <w:t>TIHEK</w:t>
      </w:r>
      <w:r w:rsidRPr="008D358A">
        <w:rPr>
          <w:rFonts w:ascii="Arial" w:hAnsi="Arial" w:cs="Arial"/>
          <w:lang w:val="en-GB"/>
        </w:rPr>
        <w:tab/>
      </w:r>
      <w:r w:rsidRPr="008D358A">
        <w:rPr>
          <w:rFonts w:ascii="Arial" w:hAnsi="Arial" w:cs="Arial"/>
          <w:lang w:val="en-GB"/>
        </w:rPr>
        <w:tab/>
      </w:r>
      <w:r w:rsidRPr="008D358A">
        <w:rPr>
          <w:rFonts w:ascii="Arial" w:hAnsi="Arial" w:cs="Arial"/>
          <w:lang w:val="en-GB"/>
        </w:rPr>
        <w:tab/>
      </w:r>
      <w:r w:rsidRPr="00743606">
        <w:rPr>
          <w:rFonts w:ascii="Arial" w:hAnsi="Arial" w:cs="Arial"/>
          <w:lang w:val="en-GB"/>
        </w:rPr>
        <w:t>Human Rights and Equality Institution of Turkey</w:t>
      </w:r>
      <w:r w:rsidRPr="008D358A">
        <w:rPr>
          <w:rFonts w:ascii="Arial" w:hAnsi="Arial" w:cs="Arial"/>
          <w:lang w:val="en-GB"/>
        </w:rPr>
        <w:t xml:space="preserve"> </w:t>
      </w:r>
    </w:p>
    <w:p w:rsidR="008D358A" w:rsidRPr="008D358A" w:rsidRDefault="008D358A" w:rsidP="00887ECA">
      <w:pPr>
        <w:spacing w:line="276" w:lineRule="auto"/>
        <w:jc w:val="both"/>
        <w:rPr>
          <w:rFonts w:ascii="Arial" w:hAnsi="Arial" w:cs="Arial"/>
          <w:lang w:val="en-GB"/>
        </w:rPr>
      </w:pPr>
      <w:r w:rsidRPr="008D358A">
        <w:rPr>
          <w:rFonts w:ascii="Arial" w:hAnsi="Arial" w:cs="Arial"/>
          <w:lang w:val="en-GB"/>
        </w:rPr>
        <w:br w:type="page"/>
      </w:r>
    </w:p>
    <w:p w:rsidR="00B618D1" w:rsidRPr="00317D0F" w:rsidRDefault="00B618D1" w:rsidP="00887ECA">
      <w:pPr>
        <w:pStyle w:val="Balk1"/>
        <w:spacing w:line="276" w:lineRule="auto"/>
        <w:jc w:val="both"/>
        <w:rPr>
          <w:b/>
          <w:sz w:val="28"/>
          <w:lang w:val="en-GB"/>
        </w:rPr>
      </w:pPr>
      <w:r w:rsidRPr="00317D0F">
        <w:rPr>
          <w:b/>
          <w:sz w:val="28"/>
          <w:lang w:val="en-GB"/>
        </w:rPr>
        <w:lastRenderedPageBreak/>
        <w:t>Non-Discrimination;</w:t>
      </w:r>
    </w:p>
    <w:p w:rsidR="00B618D1" w:rsidRDefault="00B618D1" w:rsidP="00887ECA">
      <w:pPr>
        <w:pStyle w:val="Balk1"/>
        <w:spacing w:line="276" w:lineRule="auto"/>
        <w:jc w:val="both"/>
        <w:rPr>
          <w:b/>
          <w:sz w:val="24"/>
          <w:lang w:val="en-GB"/>
        </w:rPr>
      </w:pPr>
      <w:r w:rsidRPr="008F16A9">
        <w:rPr>
          <w:b/>
          <w:sz w:val="24"/>
          <w:lang w:val="en-GB"/>
        </w:rPr>
        <w:t xml:space="preserve">Discrimination based on race, ethnic origin, religion </w:t>
      </w:r>
      <w:r w:rsidR="00C85ECB" w:rsidRPr="008F16A9">
        <w:rPr>
          <w:b/>
          <w:sz w:val="24"/>
          <w:lang w:val="en-GB"/>
        </w:rPr>
        <w:t>or</w:t>
      </w:r>
      <w:r w:rsidRPr="008F16A9">
        <w:rPr>
          <w:b/>
          <w:sz w:val="24"/>
          <w:lang w:val="en-GB"/>
        </w:rPr>
        <w:t xml:space="preserve"> belief</w:t>
      </w:r>
    </w:p>
    <w:p w:rsidR="009B1543" w:rsidRPr="009B1543" w:rsidRDefault="009B1543" w:rsidP="00887ECA">
      <w:pPr>
        <w:spacing w:line="276" w:lineRule="auto"/>
        <w:jc w:val="both"/>
        <w:rPr>
          <w:lang w:val="en-GB"/>
        </w:rPr>
      </w:pPr>
    </w:p>
    <w:p w:rsidR="007324BC" w:rsidRDefault="00E1112A" w:rsidP="00887ECA">
      <w:pPr>
        <w:pStyle w:val="ListeParagraf"/>
        <w:numPr>
          <w:ilvl w:val="0"/>
          <w:numId w:val="6"/>
        </w:numPr>
        <w:spacing w:line="276" w:lineRule="auto"/>
        <w:ind w:left="714" w:hanging="357"/>
        <w:jc w:val="both"/>
        <w:rPr>
          <w:rFonts w:ascii="Arial" w:hAnsi="Arial" w:cs="Arial"/>
          <w:lang w:val="en-GB"/>
        </w:rPr>
      </w:pPr>
      <w:r w:rsidRPr="007324BC">
        <w:rPr>
          <w:rFonts w:ascii="Arial" w:hAnsi="Arial" w:cs="Arial"/>
          <w:lang w:val="en-GB"/>
        </w:rPr>
        <w:t xml:space="preserve">Turkey has ratified certain international conventions with reservations, especially </w:t>
      </w:r>
      <w:r w:rsidR="000D4BB8" w:rsidRPr="007324BC">
        <w:rPr>
          <w:rFonts w:ascii="Arial" w:hAnsi="Arial" w:cs="Arial"/>
          <w:lang w:val="en-GB"/>
        </w:rPr>
        <w:t>the</w:t>
      </w:r>
      <w:r w:rsidRPr="007324BC">
        <w:rPr>
          <w:rFonts w:ascii="Arial" w:hAnsi="Arial" w:cs="Arial"/>
          <w:lang w:val="en-GB"/>
        </w:rPr>
        <w:t xml:space="preserve"> provisions concerning minorities, thereby limiting its obligations arising from these treaties.</w:t>
      </w:r>
      <w:r w:rsidRPr="00817133">
        <w:rPr>
          <w:rStyle w:val="DipnotBavurusu"/>
          <w:rFonts w:ascii="Arial" w:hAnsi="Arial" w:cs="Arial"/>
          <w:lang w:val="en-GB"/>
        </w:rPr>
        <w:footnoteReference w:id="1"/>
      </w:r>
      <w:r w:rsidR="00E66EC5" w:rsidRPr="007324BC">
        <w:rPr>
          <w:rFonts w:ascii="Arial" w:hAnsi="Arial" w:cs="Arial"/>
          <w:lang w:val="en-GB"/>
        </w:rPr>
        <w:t xml:space="preserve"> Per the</w:t>
      </w:r>
      <w:r w:rsidR="0000398C" w:rsidRPr="007324BC">
        <w:rPr>
          <w:rFonts w:ascii="Arial" w:hAnsi="Arial" w:cs="Arial"/>
          <w:lang w:val="en-GB"/>
        </w:rPr>
        <w:t xml:space="preserve"> Treaty of</w:t>
      </w:r>
      <w:r w:rsidR="000D4BB8" w:rsidRPr="007324BC">
        <w:rPr>
          <w:rFonts w:ascii="Arial" w:hAnsi="Arial" w:cs="Arial"/>
          <w:lang w:val="en-GB"/>
        </w:rPr>
        <w:t xml:space="preserve"> Lausanne</w:t>
      </w:r>
      <w:r w:rsidR="00E66EC5" w:rsidRPr="007324BC">
        <w:rPr>
          <w:rFonts w:ascii="Arial" w:hAnsi="Arial" w:cs="Arial"/>
          <w:lang w:val="en-GB"/>
        </w:rPr>
        <w:t xml:space="preserve"> 1923, </w:t>
      </w:r>
      <w:r w:rsidR="000F6A1B" w:rsidRPr="007324BC">
        <w:rPr>
          <w:rFonts w:ascii="Arial" w:hAnsi="Arial" w:cs="Arial"/>
          <w:lang w:val="en-GB"/>
        </w:rPr>
        <w:t xml:space="preserve">the only </w:t>
      </w:r>
      <w:r w:rsidR="003C5640" w:rsidRPr="007324BC">
        <w:rPr>
          <w:rFonts w:ascii="Arial" w:hAnsi="Arial" w:cs="Arial"/>
          <w:lang w:val="en-GB"/>
        </w:rPr>
        <w:t xml:space="preserve">minorities recognised by Turkey are </w:t>
      </w:r>
      <w:r w:rsidR="005A0231" w:rsidRPr="007324BC">
        <w:rPr>
          <w:rFonts w:ascii="Arial" w:hAnsi="Arial" w:cs="Arial"/>
          <w:lang w:val="en-GB"/>
        </w:rPr>
        <w:t xml:space="preserve">Armenians, Greek Orthodox Christians </w:t>
      </w:r>
      <w:r w:rsidR="005A0231" w:rsidRPr="0080273F">
        <w:rPr>
          <w:rFonts w:ascii="Arial" w:hAnsi="Arial" w:cs="Arial"/>
          <w:i/>
          <w:iCs/>
          <w:lang w:val="en-GB"/>
        </w:rPr>
        <w:t>(Rum</w:t>
      </w:r>
      <w:r w:rsidR="009464C8" w:rsidRPr="0080273F">
        <w:rPr>
          <w:rFonts w:ascii="Arial" w:hAnsi="Arial" w:cs="Arial"/>
          <w:i/>
          <w:iCs/>
          <w:lang w:val="en-GB"/>
        </w:rPr>
        <w:t xml:space="preserve">) </w:t>
      </w:r>
      <w:r w:rsidR="009464C8" w:rsidRPr="007324BC">
        <w:rPr>
          <w:rFonts w:ascii="Arial" w:hAnsi="Arial" w:cs="Arial"/>
          <w:lang w:val="en-GB"/>
        </w:rPr>
        <w:t>and Jews</w:t>
      </w:r>
      <w:r w:rsidR="002311F2" w:rsidRPr="007324BC">
        <w:rPr>
          <w:rFonts w:ascii="Arial" w:hAnsi="Arial" w:cs="Arial"/>
          <w:lang w:val="en-GB"/>
        </w:rPr>
        <w:t xml:space="preserve">. </w:t>
      </w:r>
      <w:r w:rsidR="00B63DE5" w:rsidRPr="007324BC">
        <w:rPr>
          <w:rFonts w:ascii="Arial" w:hAnsi="Arial" w:cs="Arial"/>
          <w:lang w:val="en-GB"/>
        </w:rPr>
        <w:t xml:space="preserve">Groups with a significant amount of population in Turkey such as </w:t>
      </w:r>
      <w:proofErr w:type="spellStart"/>
      <w:r w:rsidR="00B63DE5" w:rsidRPr="007324BC">
        <w:rPr>
          <w:rFonts w:ascii="Arial" w:hAnsi="Arial" w:cs="Arial"/>
          <w:lang w:val="en-GB"/>
        </w:rPr>
        <w:t>Alevis</w:t>
      </w:r>
      <w:proofErr w:type="spellEnd"/>
      <w:r w:rsidR="00B63DE5" w:rsidRPr="007324BC">
        <w:rPr>
          <w:rFonts w:ascii="Arial" w:hAnsi="Arial" w:cs="Arial"/>
          <w:lang w:val="en-GB"/>
        </w:rPr>
        <w:t xml:space="preserve">, Albanians, Circassians, Kurds, Laz, Roma and Assyrians do not hold any </w:t>
      </w:r>
      <w:r w:rsidR="007C69AD" w:rsidRPr="007324BC">
        <w:rPr>
          <w:rFonts w:ascii="Arial" w:hAnsi="Arial" w:cs="Arial"/>
          <w:lang w:val="en-GB"/>
        </w:rPr>
        <w:t xml:space="preserve">official status as </w:t>
      </w:r>
      <w:r w:rsidR="001A51C3" w:rsidRPr="007324BC">
        <w:rPr>
          <w:rFonts w:ascii="Arial" w:hAnsi="Arial" w:cs="Arial"/>
          <w:lang w:val="en-GB"/>
        </w:rPr>
        <w:t>minorities</w:t>
      </w:r>
      <w:r w:rsidR="007C69AD" w:rsidRPr="007324BC">
        <w:rPr>
          <w:rFonts w:ascii="Arial" w:hAnsi="Arial" w:cs="Arial"/>
          <w:lang w:val="en-GB"/>
        </w:rPr>
        <w:t>.</w:t>
      </w:r>
    </w:p>
    <w:p w:rsidR="007324BC" w:rsidRPr="007324BC" w:rsidRDefault="007324BC" w:rsidP="00887ECA">
      <w:pPr>
        <w:pStyle w:val="ListeParagraf"/>
        <w:spacing w:line="276" w:lineRule="auto"/>
        <w:ind w:left="714"/>
        <w:jc w:val="both"/>
        <w:rPr>
          <w:rFonts w:ascii="Arial" w:hAnsi="Arial" w:cs="Arial"/>
          <w:lang w:val="en-GB"/>
        </w:rPr>
      </w:pPr>
    </w:p>
    <w:p w:rsidR="009D17FD" w:rsidRDefault="007C69AD"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 xml:space="preserve">The prohibition of discrimination </w:t>
      </w:r>
      <w:r w:rsidR="002040DF" w:rsidRPr="00743606">
        <w:rPr>
          <w:rFonts w:ascii="Arial" w:hAnsi="Arial" w:cs="Arial"/>
          <w:lang w:val="en-GB"/>
        </w:rPr>
        <w:t>is contained within</w:t>
      </w:r>
      <w:r w:rsidR="00233517" w:rsidRPr="00743606">
        <w:rPr>
          <w:rFonts w:ascii="Arial" w:hAnsi="Arial" w:cs="Arial"/>
          <w:lang w:val="en-GB"/>
        </w:rPr>
        <w:t xml:space="preserve"> some</w:t>
      </w:r>
      <w:r w:rsidR="002040DF" w:rsidRPr="00743606">
        <w:rPr>
          <w:rFonts w:ascii="Arial" w:hAnsi="Arial" w:cs="Arial"/>
          <w:lang w:val="en-GB"/>
        </w:rPr>
        <w:t xml:space="preserve"> legislation in Turkey</w:t>
      </w:r>
      <w:r w:rsidR="0079419D" w:rsidRPr="00743606">
        <w:rPr>
          <w:rFonts w:ascii="Arial" w:hAnsi="Arial" w:cs="Arial"/>
          <w:lang w:val="en-GB"/>
        </w:rPr>
        <w:t xml:space="preserve"> and </w:t>
      </w:r>
      <w:r w:rsidR="002040DF" w:rsidRPr="00743606">
        <w:rPr>
          <w:rFonts w:ascii="Arial" w:hAnsi="Arial" w:cs="Arial"/>
          <w:lang w:val="en-GB"/>
        </w:rPr>
        <w:t>the Constitution</w:t>
      </w:r>
      <w:r w:rsidR="00707D62" w:rsidRPr="00817133">
        <w:rPr>
          <w:rStyle w:val="DipnotBavurusu"/>
          <w:rFonts w:ascii="Arial" w:hAnsi="Arial" w:cs="Arial"/>
          <w:lang w:val="en-GB"/>
        </w:rPr>
        <w:footnoteReference w:id="2"/>
      </w:r>
      <w:r w:rsidR="002040DF" w:rsidRPr="00743606">
        <w:rPr>
          <w:rFonts w:ascii="Arial" w:hAnsi="Arial" w:cs="Arial"/>
          <w:lang w:val="en-GB"/>
        </w:rPr>
        <w:t xml:space="preserve"> itself. </w:t>
      </w:r>
      <w:r w:rsidR="000F394E" w:rsidRPr="00743606">
        <w:rPr>
          <w:rFonts w:ascii="Arial" w:hAnsi="Arial" w:cs="Arial"/>
          <w:lang w:val="en-GB"/>
        </w:rPr>
        <w:t>Howev</w:t>
      </w:r>
      <w:bookmarkStart w:id="0" w:name="_GoBack"/>
      <w:bookmarkEnd w:id="0"/>
      <w:r w:rsidR="000F394E" w:rsidRPr="00743606">
        <w:rPr>
          <w:rFonts w:ascii="Arial" w:hAnsi="Arial" w:cs="Arial"/>
          <w:lang w:val="en-GB"/>
        </w:rPr>
        <w:t xml:space="preserve">er, </w:t>
      </w:r>
      <w:r w:rsidR="00C06FC9" w:rsidRPr="00743606">
        <w:rPr>
          <w:rFonts w:ascii="Arial" w:hAnsi="Arial" w:cs="Arial"/>
          <w:lang w:val="en-GB"/>
        </w:rPr>
        <w:t xml:space="preserve">these provisions in the Constitution and legislation are </w:t>
      </w:r>
      <w:r w:rsidR="009B584D" w:rsidRPr="00743606">
        <w:rPr>
          <w:rFonts w:ascii="Arial" w:hAnsi="Arial" w:cs="Arial"/>
          <w:lang w:val="en-GB"/>
        </w:rPr>
        <w:t xml:space="preserve">merely general equality provisions, are far from the international standards and their scope </w:t>
      </w:r>
      <w:r w:rsidR="00F326AF" w:rsidRPr="00743606">
        <w:rPr>
          <w:rFonts w:ascii="Arial" w:hAnsi="Arial" w:cs="Arial"/>
          <w:lang w:val="en-GB"/>
        </w:rPr>
        <w:t xml:space="preserve">does not </w:t>
      </w:r>
      <w:r w:rsidR="002528BC" w:rsidRPr="00743606">
        <w:rPr>
          <w:rFonts w:ascii="Arial" w:hAnsi="Arial" w:cs="Arial"/>
          <w:lang w:val="en-GB"/>
        </w:rPr>
        <w:t xml:space="preserve">cover </w:t>
      </w:r>
      <w:r w:rsidR="00F326AF" w:rsidRPr="00743606">
        <w:rPr>
          <w:rFonts w:ascii="Arial" w:hAnsi="Arial" w:cs="Arial"/>
          <w:lang w:val="en-GB"/>
        </w:rPr>
        <w:t xml:space="preserve">all bases of discrimination. </w:t>
      </w:r>
      <w:r w:rsidR="00C036EE" w:rsidRPr="00743606">
        <w:rPr>
          <w:rFonts w:ascii="Arial" w:hAnsi="Arial" w:cs="Arial"/>
          <w:lang w:val="en-GB"/>
        </w:rPr>
        <w:t xml:space="preserve">For example, </w:t>
      </w:r>
      <w:r w:rsidR="006C4671" w:rsidRPr="00743606">
        <w:rPr>
          <w:rFonts w:ascii="Arial" w:hAnsi="Arial" w:cs="Arial"/>
          <w:lang w:val="en-GB"/>
        </w:rPr>
        <w:t>ethnic origin is not included in any of the provisions in questio</w:t>
      </w:r>
      <w:r w:rsidR="000B3F82" w:rsidRPr="00743606">
        <w:rPr>
          <w:rFonts w:ascii="Arial" w:hAnsi="Arial" w:cs="Arial"/>
          <w:lang w:val="en-GB"/>
        </w:rPr>
        <w:t>n</w:t>
      </w:r>
      <w:r w:rsidR="00521FD1" w:rsidRPr="00743606">
        <w:rPr>
          <w:rFonts w:ascii="Arial" w:hAnsi="Arial" w:cs="Arial"/>
          <w:lang w:val="en-GB"/>
        </w:rPr>
        <w:t>,</w:t>
      </w:r>
      <w:r w:rsidR="000B3F82" w:rsidRPr="00743606">
        <w:rPr>
          <w:rFonts w:ascii="Arial" w:hAnsi="Arial" w:cs="Arial"/>
          <w:lang w:val="en-GB"/>
        </w:rPr>
        <w:t xml:space="preserve"> as a basis of discrimination</w:t>
      </w:r>
      <w:r w:rsidR="009C0AA0" w:rsidRPr="00743606">
        <w:rPr>
          <w:rFonts w:ascii="Arial" w:hAnsi="Arial" w:cs="Arial"/>
          <w:lang w:val="en-GB"/>
        </w:rPr>
        <w:t xml:space="preserve">. While </w:t>
      </w:r>
      <w:r w:rsidR="00154808" w:rsidRPr="00743606">
        <w:rPr>
          <w:rFonts w:ascii="Arial" w:hAnsi="Arial" w:cs="Arial"/>
          <w:lang w:val="en-GB"/>
        </w:rPr>
        <w:t xml:space="preserve">the </w:t>
      </w:r>
      <w:r w:rsidR="00747F6C" w:rsidRPr="00743606">
        <w:rPr>
          <w:rFonts w:ascii="Arial" w:hAnsi="Arial" w:cs="Arial"/>
          <w:lang w:val="en-GB"/>
        </w:rPr>
        <w:t xml:space="preserve">recommendations given on this issue in the 2015 cycle were </w:t>
      </w:r>
      <w:r w:rsidR="009C0AA0" w:rsidRPr="00743606">
        <w:rPr>
          <w:rFonts w:ascii="Arial" w:hAnsi="Arial" w:cs="Arial"/>
          <w:lang w:val="en-GB"/>
        </w:rPr>
        <w:t xml:space="preserve">accepted, </w:t>
      </w:r>
      <w:r w:rsidR="00F21BAD" w:rsidRPr="00743606">
        <w:rPr>
          <w:rFonts w:ascii="Arial" w:hAnsi="Arial" w:cs="Arial"/>
          <w:lang w:val="en-GB"/>
        </w:rPr>
        <w:t xml:space="preserve">there has been </w:t>
      </w:r>
      <w:r w:rsidR="00DF71DE" w:rsidRPr="00743606">
        <w:rPr>
          <w:rFonts w:ascii="Arial" w:hAnsi="Arial" w:cs="Arial"/>
          <w:lang w:val="en-GB"/>
        </w:rPr>
        <w:t xml:space="preserve">no </w:t>
      </w:r>
      <w:r w:rsidR="00F21BAD" w:rsidRPr="00743606">
        <w:rPr>
          <w:rFonts w:ascii="Arial" w:hAnsi="Arial" w:cs="Arial"/>
          <w:lang w:val="en-GB"/>
        </w:rPr>
        <w:t>development</w:t>
      </w:r>
      <w:r w:rsidR="00521FD1" w:rsidRPr="00743606">
        <w:rPr>
          <w:rFonts w:ascii="Arial" w:hAnsi="Arial" w:cs="Arial"/>
          <w:lang w:val="en-GB"/>
        </w:rPr>
        <w:t xml:space="preserve"> since then.</w:t>
      </w:r>
      <w:r w:rsidR="000D1C64" w:rsidRPr="00817133">
        <w:rPr>
          <w:rStyle w:val="DipnotBavurusu"/>
          <w:rFonts w:ascii="Arial" w:hAnsi="Arial" w:cs="Arial"/>
          <w:lang w:val="en-GB"/>
        </w:rPr>
        <w:footnoteReference w:id="3"/>
      </w:r>
      <w:r w:rsidR="000D1C64" w:rsidRPr="00743606">
        <w:rPr>
          <w:rFonts w:ascii="Arial" w:hAnsi="Arial" w:cs="Arial"/>
          <w:lang w:val="en-GB"/>
        </w:rPr>
        <w:t xml:space="preserve"> All research conducted on </w:t>
      </w:r>
      <w:r w:rsidR="00A9376C" w:rsidRPr="00743606">
        <w:rPr>
          <w:rFonts w:ascii="Arial" w:hAnsi="Arial" w:cs="Arial"/>
          <w:lang w:val="en-GB"/>
        </w:rPr>
        <w:t>this issue conclude</w:t>
      </w:r>
      <w:r w:rsidR="00E42162" w:rsidRPr="00743606">
        <w:rPr>
          <w:rFonts w:ascii="Arial" w:hAnsi="Arial" w:cs="Arial"/>
          <w:lang w:val="en-GB"/>
        </w:rPr>
        <w:t>s</w:t>
      </w:r>
      <w:r w:rsidR="00A9376C" w:rsidRPr="00743606">
        <w:rPr>
          <w:rFonts w:ascii="Arial" w:hAnsi="Arial" w:cs="Arial"/>
          <w:lang w:val="en-GB"/>
        </w:rPr>
        <w:t xml:space="preserve"> that</w:t>
      </w:r>
      <w:r w:rsidR="00004788" w:rsidRPr="00743606">
        <w:rPr>
          <w:rFonts w:ascii="Arial" w:hAnsi="Arial" w:cs="Arial"/>
          <w:lang w:val="en-GB"/>
        </w:rPr>
        <w:t>,</w:t>
      </w:r>
      <w:r w:rsidR="00A9376C" w:rsidRPr="00743606">
        <w:rPr>
          <w:rFonts w:ascii="Arial" w:hAnsi="Arial" w:cs="Arial"/>
          <w:lang w:val="en-GB"/>
        </w:rPr>
        <w:t xml:space="preserve"> discrimination is highly prevalent </w:t>
      </w:r>
      <w:r w:rsidR="00F54DD6">
        <w:rPr>
          <w:rFonts w:ascii="Arial" w:hAnsi="Arial" w:cs="Arial"/>
          <w:lang w:val="en-GB"/>
        </w:rPr>
        <w:t>in</w:t>
      </w:r>
      <w:r w:rsidR="00004788" w:rsidRPr="00743606">
        <w:rPr>
          <w:rFonts w:ascii="Arial" w:hAnsi="Arial" w:cs="Arial"/>
          <w:lang w:val="en-GB"/>
        </w:rPr>
        <w:t xml:space="preserve"> Turkey </w:t>
      </w:r>
      <w:r w:rsidR="00A9376C" w:rsidRPr="00743606">
        <w:rPr>
          <w:rFonts w:ascii="Arial" w:hAnsi="Arial" w:cs="Arial"/>
          <w:lang w:val="en-GB"/>
        </w:rPr>
        <w:t xml:space="preserve">and the most common two bases for discrimination are belief and ethnic origin. </w:t>
      </w:r>
    </w:p>
    <w:p w:rsidR="009B1543" w:rsidRPr="009B1543" w:rsidRDefault="009B1543" w:rsidP="00887ECA">
      <w:pPr>
        <w:pStyle w:val="ListeParagraf"/>
        <w:spacing w:line="276" w:lineRule="auto"/>
        <w:jc w:val="both"/>
        <w:rPr>
          <w:rFonts w:ascii="Arial" w:hAnsi="Arial" w:cs="Arial"/>
          <w:lang w:val="en-GB"/>
        </w:rPr>
      </w:pPr>
    </w:p>
    <w:p w:rsidR="00743606" w:rsidRDefault="00625C06"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 xml:space="preserve">The definition </w:t>
      </w:r>
      <w:r w:rsidR="00A8304F" w:rsidRPr="00743606">
        <w:rPr>
          <w:rFonts w:ascii="Arial" w:hAnsi="Arial" w:cs="Arial"/>
          <w:lang w:val="en-GB"/>
        </w:rPr>
        <w:t xml:space="preserve">of discrimination </w:t>
      </w:r>
      <w:r w:rsidR="007F323F" w:rsidRPr="00743606">
        <w:rPr>
          <w:rFonts w:ascii="Arial" w:hAnsi="Arial" w:cs="Arial"/>
          <w:lang w:val="en-GB"/>
        </w:rPr>
        <w:t xml:space="preserve">is </w:t>
      </w:r>
      <w:r w:rsidR="00A8304F" w:rsidRPr="00743606">
        <w:rPr>
          <w:rFonts w:ascii="Arial" w:hAnsi="Arial" w:cs="Arial"/>
          <w:lang w:val="en-GB"/>
        </w:rPr>
        <w:t xml:space="preserve">not provided by law (direct, indirect discrimination etc.), </w:t>
      </w:r>
      <w:r w:rsidR="00DF0226" w:rsidRPr="00743606">
        <w:rPr>
          <w:rFonts w:ascii="Arial" w:hAnsi="Arial" w:cs="Arial"/>
          <w:lang w:val="en-GB"/>
        </w:rPr>
        <w:t xml:space="preserve">shifting of the burden </w:t>
      </w:r>
      <w:r w:rsidR="00E456BC" w:rsidRPr="00743606">
        <w:rPr>
          <w:rFonts w:ascii="Arial" w:hAnsi="Arial" w:cs="Arial"/>
          <w:lang w:val="en-GB"/>
        </w:rPr>
        <w:t xml:space="preserve">of </w:t>
      </w:r>
      <w:r w:rsidR="00DF0226" w:rsidRPr="00743606">
        <w:rPr>
          <w:rFonts w:ascii="Arial" w:hAnsi="Arial" w:cs="Arial"/>
          <w:lang w:val="en-GB"/>
        </w:rPr>
        <w:t xml:space="preserve">proof is provided only partially by the </w:t>
      </w:r>
      <w:r w:rsidR="005415D9" w:rsidRPr="00743606">
        <w:rPr>
          <w:rFonts w:ascii="Arial" w:hAnsi="Arial" w:cs="Arial"/>
          <w:lang w:val="en-GB"/>
        </w:rPr>
        <w:t>Labour Law.</w:t>
      </w:r>
      <w:r w:rsidR="003869A3" w:rsidRPr="00817133">
        <w:rPr>
          <w:rStyle w:val="DipnotBavurusu"/>
          <w:rFonts w:ascii="Arial" w:hAnsi="Arial" w:cs="Arial"/>
          <w:lang w:val="en-GB"/>
        </w:rPr>
        <w:footnoteReference w:id="4"/>
      </w:r>
      <w:r w:rsidR="005415D9" w:rsidRPr="00743606">
        <w:rPr>
          <w:rFonts w:ascii="Arial" w:hAnsi="Arial" w:cs="Arial"/>
          <w:lang w:val="en-GB"/>
        </w:rPr>
        <w:t xml:space="preserve"> </w:t>
      </w:r>
    </w:p>
    <w:p w:rsidR="009B1543" w:rsidRDefault="009B1543" w:rsidP="00887ECA">
      <w:pPr>
        <w:pStyle w:val="ListeParagraf"/>
        <w:spacing w:line="276" w:lineRule="auto"/>
        <w:jc w:val="both"/>
        <w:rPr>
          <w:rFonts w:ascii="Arial" w:hAnsi="Arial" w:cs="Arial"/>
          <w:lang w:val="en-GB"/>
        </w:rPr>
      </w:pPr>
    </w:p>
    <w:p w:rsidR="009B1543" w:rsidRDefault="00AD3863"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Penal Code</w:t>
      </w:r>
      <w:r w:rsidR="00E83CE6" w:rsidRPr="00817133">
        <w:rPr>
          <w:rStyle w:val="DipnotBavurusu"/>
          <w:rFonts w:ascii="Arial" w:hAnsi="Arial" w:cs="Arial"/>
          <w:lang w:val="en-GB"/>
        </w:rPr>
        <w:footnoteReference w:id="5"/>
      </w:r>
      <w:r w:rsidRPr="00743606">
        <w:rPr>
          <w:rFonts w:ascii="Arial" w:hAnsi="Arial" w:cs="Arial"/>
          <w:lang w:val="en-GB"/>
        </w:rPr>
        <w:t xml:space="preserve"> Art. 122 </w:t>
      </w:r>
      <w:r w:rsidR="007B7A3A" w:rsidRPr="00743606">
        <w:rPr>
          <w:rFonts w:ascii="Arial" w:hAnsi="Arial" w:cs="Arial"/>
          <w:lang w:val="en-GB"/>
        </w:rPr>
        <w:t>contains a limited provision on discrimination as a crime.</w:t>
      </w:r>
      <w:r w:rsidR="00E83CE6" w:rsidRPr="00817133">
        <w:rPr>
          <w:rStyle w:val="DipnotBavurusu"/>
          <w:rFonts w:ascii="Arial" w:hAnsi="Arial" w:cs="Arial"/>
          <w:lang w:val="en-GB"/>
        </w:rPr>
        <w:footnoteReference w:id="6"/>
      </w:r>
      <w:r w:rsidR="00270B3D" w:rsidRPr="00743606">
        <w:rPr>
          <w:rFonts w:ascii="Arial" w:hAnsi="Arial" w:cs="Arial"/>
          <w:lang w:val="en-GB"/>
        </w:rPr>
        <w:t xml:space="preserve"> With the amendment in 2014, </w:t>
      </w:r>
      <w:r w:rsidR="00595008" w:rsidRPr="00743606">
        <w:rPr>
          <w:rFonts w:ascii="Arial" w:hAnsi="Arial" w:cs="Arial"/>
          <w:lang w:val="en-GB"/>
        </w:rPr>
        <w:t>the expression “</w:t>
      </w:r>
      <w:r w:rsidR="00595008" w:rsidRPr="00743606">
        <w:rPr>
          <w:rFonts w:ascii="Arial" w:hAnsi="Arial" w:cs="Arial"/>
          <w:i/>
          <w:lang w:val="en-GB"/>
        </w:rPr>
        <w:t>and such other basis</w:t>
      </w:r>
      <w:r w:rsidR="00595008" w:rsidRPr="00743606">
        <w:rPr>
          <w:rFonts w:ascii="Arial" w:hAnsi="Arial" w:cs="Arial"/>
          <w:lang w:val="en-GB"/>
        </w:rPr>
        <w:t xml:space="preserve">” was removed (which came after the explicit mention of different bases for discrimination) and </w:t>
      </w:r>
      <w:r w:rsidR="0048032C" w:rsidRPr="00743606">
        <w:rPr>
          <w:rFonts w:ascii="Arial" w:hAnsi="Arial" w:cs="Arial"/>
          <w:lang w:val="en-GB"/>
        </w:rPr>
        <w:t>“</w:t>
      </w:r>
      <w:r w:rsidR="0048032C" w:rsidRPr="00743606">
        <w:rPr>
          <w:rFonts w:ascii="Arial" w:hAnsi="Arial" w:cs="Arial"/>
          <w:i/>
          <w:lang w:val="en-GB"/>
        </w:rPr>
        <w:t>on ground</w:t>
      </w:r>
      <w:r w:rsidR="005164E9">
        <w:rPr>
          <w:rFonts w:ascii="Arial" w:hAnsi="Arial" w:cs="Arial"/>
          <w:i/>
          <w:lang w:val="en-GB"/>
        </w:rPr>
        <w:t>s</w:t>
      </w:r>
      <w:r w:rsidR="0048032C" w:rsidRPr="00743606">
        <w:rPr>
          <w:rFonts w:ascii="Arial" w:hAnsi="Arial" w:cs="Arial"/>
          <w:i/>
          <w:lang w:val="en-GB"/>
        </w:rPr>
        <w:t xml:space="preserve"> of hatred</w:t>
      </w:r>
      <w:r w:rsidR="0048032C" w:rsidRPr="00743606">
        <w:rPr>
          <w:rFonts w:ascii="Arial" w:hAnsi="Arial" w:cs="Arial"/>
          <w:lang w:val="en-GB"/>
        </w:rPr>
        <w:t xml:space="preserve">” </w:t>
      </w:r>
      <w:r w:rsidR="00B916FD" w:rsidRPr="00743606">
        <w:rPr>
          <w:rFonts w:ascii="Arial" w:hAnsi="Arial" w:cs="Arial"/>
          <w:lang w:val="en-GB"/>
        </w:rPr>
        <w:t xml:space="preserve">was added. </w:t>
      </w:r>
      <w:r w:rsidR="00B916FD" w:rsidRPr="00903327">
        <w:rPr>
          <w:rFonts w:ascii="Arial" w:hAnsi="Arial" w:cs="Arial"/>
          <w:lang w:val="en-GB"/>
        </w:rPr>
        <w:t xml:space="preserve">This amendment has narrowed </w:t>
      </w:r>
      <w:r w:rsidR="00E845EC" w:rsidRPr="00903327">
        <w:rPr>
          <w:rFonts w:ascii="Arial" w:hAnsi="Arial" w:cs="Arial"/>
          <w:lang w:val="en-GB"/>
        </w:rPr>
        <w:t>down</w:t>
      </w:r>
      <w:r w:rsidR="00B916FD" w:rsidRPr="00903327">
        <w:rPr>
          <w:rFonts w:ascii="Arial" w:hAnsi="Arial" w:cs="Arial"/>
          <w:lang w:val="en-GB"/>
        </w:rPr>
        <w:t xml:space="preserve"> the scope </w:t>
      </w:r>
      <w:r w:rsidR="00E845EC" w:rsidRPr="00903327">
        <w:rPr>
          <w:rFonts w:ascii="Arial" w:hAnsi="Arial" w:cs="Arial"/>
          <w:lang w:val="en-GB"/>
        </w:rPr>
        <w:t xml:space="preserve">of this article, in terms of the bases of discrimination and </w:t>
      </w:r>
      <w:r w:rsidR="00AA0545" w:rsidRPr="00903327">
        <w:rPr>
          <w:rFonts w:ascii="Arial" w:hAnsi="Arial" w:cs="Arial"/>
          <w:lang w:val="en-GB"/>
        </w:rPr>
        <w:t>its application</w:t>
      </w:r>
      <w:r w:rsidR="00EF6C05" w:rsidRPr="00903327">
        <w:rPr>
          <w:rFonts w:ascii="Arial" w:hAnsi="Arial" w:cs="Arial"/>
          <w:lang w:val="en-GB"/>
        </w:rPr>
        <w:t>,</w:t>
      </w:r>
      <w:r w:rsidR="00AA0545" w:rsidRPr="00903327">
        <w:rPr>
          <w:rFonts w:ascii="Arial" w:hAnsi="Arial" w:cs="Arial"/>
          <w:lang w:val="en-GB"/>
        </w:rPr>
        <w:t xml:space="preserve"> since proving hatred as a motivation is now </w:t>
      </w:r>
      <w:r w:rsidR="006D1E55">
        <w:rPr>
          <w:rFonts w:ascii="Arial" w:hAnsi="Arial" w:cs="Arial"/>
          <w:lang w:val="en-GB"/>
        </w:rPr>
        <w:t>a requirement</w:t>
      </w:r>
      <w:r w:rsidR="00AA0545" w:rsidRPr="00903327">
        <w:rPr>
          <w:rFonts w:ascii="Arial" w:hAnsi="Arial" w:cs="Arial"/>
          <w:lang w:val="en-GB"/>
        </w:rPr>
        <w:t xml:space="preserve">. </w:t>
      </w:r>
    </w:p>
    <w:p w:rsidR="009B1543" w:rsidRPr="009B1543" w:rsidRDefault="009B1543" w:rsidP="00887ECA">
      <w:pPr>
        <w:pStyle w:val="ListeParagraf"/>
        <w:spacing w:line="276" w:lineRule="auto"/>
        <w:jc w:val="both"/>
        <w:rPr>
          <w:rFonts w:ascii="Arial" w:hAnsi="Arial" w:cs="Arial"/>
          <w:lang w:val="en-GB"/>
        </w:rPr>
      </w:pPr>
    </w:p>
    <w:p w:rsidR="00743606" w:rsidRDefault="00AB2F3B"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lastRenderedPageBreak/>
        <w:t>Judicial authorities and</w:t>
      </w:r>
      <w:r w:rsidR="00DC116D" w:rsidRPr="00743606">
        <w:rPr>
          <w:rFonts w:ascii="Arial" w:hAnsi="Arial" w:cs="Arial"/>
          <w:lang w:val="en-GB"/>
        </w:rPr>
        <w:t xml:space="preserve"> national preventi</w:t>
      </w:r>
      <w:r w:rsidR="004E64E7">
        <w:rPr>
          <w:rFonts w:ascii="Arial" w:hAnsi="Arial" w:cs="Arial"/>
          <w:lang w:val="en-GB"/>
        </w:rPr>
        <w:t>ve</w:t>
      </w:r>
      <w:r w:rsidR="00DC116D" w:rsidRPr="00743606">
        <w:rPr>
          <w:rFonts w:ascii="Arial" w:hAnsi="Arial" w:cs="Arial"/>
          <w:lang w:val="en-GB"/>
        </w:rPr>
        <w:t xml:space="preserve"> mechanisms, do not </w:t>
      </w:r>
      <w:r w:rsidR="00585D3A" w:rsidRPr="00743606">
        <w:rPr>
          <w:rFonts w:ascii="Arial" w:hAnsi="Arial" w:cs="Arial"/>
          <w:lang w:val="en-GB"/>
        </w:rPr>
        <w:t xml:space="preserve">conduct effective investigation into alleged </w:t>
      </w:r>
      <w:r w:rsidR="00047A60" w:rsidRPr="00743606">
        <w:rPr>
          <w:rFonts w:ascii="Arial" w:hAnsi="Arial" w:cs="Arial"/>
          <w:lang w:val="en-GB"/>
        </w:rPr>
        <w:t xml:space="preserve">cases of </w:t>
      </w:r>
      <w:r w:rsidR="00585D3A" w:rsidRPr="00743606">
        <w:rPr>
          <w:rFonts w:ascii="Arial" w:hAnsi="Arial" w:cs="Arial"/>
          <w:lang w:val="en-GB"/>
        </w:rPr>
        <w:t>discrimination</w:t>
      </w:r>
      <w:r w:rsidR="00EF6C05" w:rsidRPr="00743606">
        <w:rPr>
          <w:rFonts w:ascii="Arial" w:hAnsi="Arial" w:cs="Arial"/>
          <w:lang w:val="en-GB"/>
        </w:rPr>
        <w:t xml:space="preserve">, which then </w:t>
      </w:r>
      <w:r w:rsidR="00990421" w:rsidRPr="00743606">
        <w:rPr>
          <w:rFonts w:ascii="Arial" w:hAnsi="Arial" w:cs="Arial"/>
          <w:lang w:val="en-GB"/>
        </w:rPr>
        <w:t xml:space="preserve">frequently end with impunity for perpetrators. </w:t>
      </w:r>
      <w:r w:rsidR="00B826D8" w:rsidRPr="00743606">
        <w:rPr>
          <w:rFonts w:ascii="Arial" w:hAnsi="Arial" w:cs="Arial"/>
          <w:lang w:val="en-GB"/>
        </w:rPr>
        <w:t xml:space="preserve">There are </w:t>
      </w:r>
      <w:r w:rsidR="00066C0C" w:rsidRPr="00743606">
        <w:rPr>
          <w:rFonts w:ascii="Arial" w:hAnsi="Arial" w:cs="Arial"/>
          <w:lang w:val="en-GB"/>
        </w:rPr>
        <w:t xml:space="preserve">still </w:t>
      </w:r>
      <w:r w:rsidR="00B826D8" w:rsidRPr="00743606">
        <w:rPr>
          <w:rFonts w:ascii="Arial" w:hAnsi="Arial" w:cs="Arial"/>
          <w:lang w:val="en-GB"/>
        </w:rPr>
        <w:t xml:space="preserve">no </w:t>
      </w:r>
      <w:r w:rsidR="00066C0C" w:rsidRPr="00743606">
        <w:rPr>
          <w:rFonts w:ascii="Arial" w:hAnsi="Arial" w:cs="Arial"/>
          <w:lang w:val="en-GB"/>
        </w:rPr>
        <w:t xml:space="preserve">court decisions </w:t>
      </w:r>
      <w:r w:rsidR="00B826D8" w:rsidRPr="00743606">
        <w:rPr>
          <w:rFonts w:ascii="Arial" w:hAnsi="Arial" w:cs="Arial"/>
          <w:lang w:val="en-GB"/>
        </w:rPr>
        <w:t>on ground</w:t>
      </w:r>
      <w:r w:rsidR="00066C0C" w:rsidRPr="00743606">
        <w:rPr>
          <w:rFonts w:ascii="Arial" w:hAnsi="Arial" w:cs="Arial"/>
          <w:lang w:val="en-GB"/>
        </w:rPr>
        <w:t>s</w:t>
      </w:r>
      <w:r w:rsidR="00B826D8" w:rsidRPr="00743606">
        <w:rPr>
          <w:rFonts w:ascii="Arial" w:hAnsi="Arial" w:cs="Arial"/>
          <w:lang w:val="en-GB"/>
        </w:rPr>
        <w:t xml:space="preserve"> of Penal Code Art. 122, neither are there any Human Rights and Equality Institution of Turkey</w:t>
      </w:r>
      <w:r w:rsidR="00A17843" w:rsidRPr="00743606">
        <w:rPr>
          <w:rFonts w:ascii="Arial" w:hAnsi="Arial" w:cs="Arial"/>
          <w:lang w:val="en-GB"/>
        </w:rPr>
        <w:t xml:space="preserve"> (TIHEK)</w:t>
      </w:r>
      <w:r w:rsidR="003021B6">
        <w:rPr>
          <w:rStyle w:val="DipnotBavurusu"/>
          <w:rFonts w:ascii="Arial" w:hAnsi="Arial" w:cs="Arial"/>
          <w:lang w:val="en-GB"/>
        </w:rPr>
        <w:footnoteReference w:id="7"/>
      </w:r>
      <w:r w:rsidR="00B826D8" w:rsidRPr="00743606">
        <w:rPr>
          <w:rFonts w:ascii="Arial" w:hAnsi="Arial" w:cs="Arial"/>
          <w:lang w:val="en-GB"/>
        </w:rPr>
        <w:t xml:space="preserve"> decisions on grounds of discrimination. </w:t>
      </w:r>
      <w:r w:rsidR="00967368" w:rsidRPr="00743606">
        <w:rPr>
          <w:rFonts w:ascii="Arial" w:hAnsi="Arial" w:cs="Arial"/>
          <w:lang w:val="en-GB"/>
        </w:rPr>
        <w:t>TIHEK</w:t>
      </w:r>
      <w:r w:rsidR="00003EAC" w:rsidRPr="00743606">
        <w:rPr>
          <w:rFonts w:ascii="Arial" w:hAnsi="Arial" w:cs="Arial"/>
          <w:lang w:val="en-GB"/>
        </w:rPr>
        <w:t>,</w:t>
      </w:r>
      <w:r w:rsidR="00967368" w:rsidRPr="00743606">
        <w:rPr>
          <w:rFonts w:ascii="Arial" w:hAnsi="Arial" w:cs="Arial"/>
          <w:lang w:val="en-GB"/>
        </w:rPr>
        <w:t xml:space="preserve"> has recently rejected an application </w:t>
      </w:r>
      <w:r w:rsidR="00003EAC" w:rsidRPr="00743606">
        <w:rPr>
          <w:rFonts w:ascii="Arial" w:hAnsi="Arial" w:cs="Arial"/>
          <w:lang w:val="en-GB"/>
        </w:rPr>
        <w:t>for establishment of a framework to prevent the use of racist and hate speech</w:t>
      </w:r>
      <w:r w:rsidR="000448F1" w:rsidRPr="00743606">
        <w:rPr>
          <w:rFonts w:ascii="Arial" w:hAnsi="Arial" w:cs="Arial"/>
          <w:lang w:val="en-GB"/>
        </w:rPr>
        <w:t xml:space="preserve"> by political parties</w:t>
      </w:r>
      <w:r w:rsidR="006C01FD" w:rsidRPr="00743606">
        <w:rPr>
          <w:rFonts w:ascii="Arial" w:hAnsi="Arial" w:cs="Arial"/>
          <w:lang w:val="en-GB"/>
        </w:rPr>
        <w:t xml:space="preserve">, </w:t>
      </w:r>
      <w:r w:rsidR="000448F1" w:rsidRPr="00743606">
        <w:rPr>
          <w:rFonts w:ascii="Arial" w:hAnsi="Arial" w:cs="Arial"/>
          <w:lang w:val="en-GB"/>
        </w:rPr>
        <w:t>candidates and media outlets</w:t>
      </w:r>
      <w:r w:rsidR="00003EAC" w:rsidRPr="00743606">
        <w:rPr>
          <w:rFonts w:ascii="Arial" w:hAnsi="Arial" w:cs="Arial"/>
          <w:lang w:val="en-GB"/>
        </w:rPr>
        <w:t xml:space="preserve"> in election campaigns in 2019.</w:t>
      </w:r>
    </w:p>
    <w:p w:rsidR="009B1543" w:rsidRPr="009B1543" w:rsidRDefault="009B1543" w:rsidP="00887ECA">
      <w:pPr>
        <w:pStyle w:val="ListeParagraf"/>
        <w:spacing w:line="276" w:lineRule="auto"/>
        <w:jc w:val="both"/>
        <w:rPr>
          <w:rFonts w:ascii="Arial" w:hAnsi="Arial" w:cs="Arial"/>
          <w:lang w:val="en-GB"/>
        </w:rPr>
      </w:pPr>
    </w:p>
    <w:p w:rsidR="00743606" w:rsidRDefault="00B36CF6"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Disaggregated d</w:t>
      </w:r>
      <w:r w:rsidR="00761E56" w:rsidRPr="00743606">
        <w:rPr>
          <w:rFonts w:ascii="Arial" w:hAnsi="Arial" w:cs="Arial"/>
          <w:lang w:val="en-GB"/>
        </w:rPr>
        <w:t xml:space="preserve">ata on race, ethnic origin, religion </w:t>
      </w:r>
      <w:r w:rsidR="00941352" w:rsidRPr="00743606">
        <w:rPr>
          <w:rFonts w:ascii="Arial" w:hAnsi="Arial" w:cs="Arial"/>
          <w:lang w:val="en-GB"/>
        </w:rPr>
        <w:t>or</w:t>
      </w:r>
      <w:r w:rsidR="00761E56" w:rsidRPr="00743606">
        <w:rPr>
          <w:rFonts w:ascii="Arial" w:hAnsi="Arial" w:cs="Arial"/>
          <w:lang w:val="en-GB"/>
        </w:rPr>
        <w:t xml:space="preserve"> belief is either not collected by the State or not shared with the public. This </w:t>
      </w:r>
      <w:r w:rsidR="00BE0F37" w:rsidRPr="00743606">
        <w:rPr>
          <w:rFonts w:ascii="Arial" w:hAnsi="Arial" w:cs="Arial"/>
          <w:lang w:val="en-GB"/>
        </w:rPr>
        <w:t>prevents both the State and Civil Society Organisations</w:t>
      </w:r>
      <w:r w:rsidR="003E75DB">
        <w:rPr>
          <w:rFonts w:ascii="Arial" w:hAnsi="Arial" w:cs="Arial"/>
          <w:lang w:val="en-GB"/>
        </w:rPr>
        <w:t xml:space="preserve"> (CSOs)</w:t>
      </w:r>
      <w:r w:rsidR="00BE0F37" w:rsidRPr="00743606">
        <w:rPr>
          <w:rFonts w:ascii="Arial" w:hAnsi="Arial" w:cs="Arial"/>
          <w:lang w:val="en-GB"/>
        </w:rPr>
        <w:t xml:space="preserve"> from working in a </w:t>
      </w:r>
      <w:proofErr w:type="gramStart"/>
      <w:r w:rsidR="00BE0F37" w:rsidRPr="00743606">
        <w:rPr>
          <w:rFonts w:ascii="Arial" w:hAnsi="Arial" w:cs="Arial"/>
          <w:lang w:val="en-GB"/>
        </w:rPr>
        <w:t>target oriented</w:t>
      </w:r>
      <w:proofErr w:type="gramEnd"/>
      <w:r w:rsidR="00BE0F37" w:rsidRPr="00743606">
        <w:rPr>
          <w:rFonts w:ascii="Arial" w:hAnsi="Arial" w:cs="Arial"/>
          <w:lang w:val="en-GB"/>
        </w:rPr>
        <w:t xml:space="preserve"> manner </w:t>
      </w:r>
      <w:r w:rsidR="002060AE" w:rsidRPr="00743606">
        <w:rPr>
          <w:rFonts w:ascii="Arial" w:hAnsi="Arial" w:cs="Arial"/>
          <w:lang w:val="en-GB"/>
        </w:rPr>
        <w:t xml:space="preserve">for providing </w:t>
      </w:r>
      <w:r w:rsidR="0025607D" w:rsidRPr="00743606">
        <w:rPr>
          <w:rFonts w:ascii="Arial" w:hAnsi="Arial" w:cs="Arial"/>
          <w:lang w:val="en-GB"/>
        </w:rPr>
        <w:t xml:space="preserve">solutions. </w:t>
      </w:r>
      <w:r w:rsidR="00CC4DCD" w:rsidRPr="00743606">
        <w:rPr>
          <w:rFonts w:ascii="Arial" w:hAnsi="Arial" w:cs="Arial"/>
          <w:lang w:val="en-GB"/>
        </w:rPr>
        <w:t xml:space="preserve">The policy documents and action plans </w:t>
      </w:r>
      <w:r w:rsidR="00036659" w:rsidRPr="00743606">
        <w:rPr>
          <w:rFonts w:ascii="Arial" w:hAnsi="Arial" w:cs="Arial"/>
          <w:lang w:val="en-GB"/>
        </w:rPr>
        <w:t>which have been formed,</w:t>
      </w:r>
      <w:r w:rsidR="008D1CEC" w:rsidRPr="00743606">
        <w:rPr>
          <w:rFonts w:ascii="Arial" w:hAnsi="Arial" w:cs="Arial"/>
          <w:lang w:val="en-GB"/>
        </w:rPr>
        <w:t xml:space="preserve"> </w:t>
      </w:r>
      <w:r w:rsidR="00FB2199" w:rsidRPr="00743606">
        <w:rPr>
          <w:rFonts w:ascii="Arial" w:hAnsi="Arial" w:cs="Arial"/>
          <w:lang w:val="en-GB"/>
        </w:rPr>
        <w:t xml:space="preserve">lack </w:t>
      </w:r>
      <w:r w:rsidR="00E76119" w:rsidRPr="00743606">
        <w:rPr>
          <w:rFonts w:ascii="Arial" w:hAnsi="Arial" w:cs="Arial"/>
          <w:lang w:val="en-GB"/>
        </w:rPr>
        <w:t>an intersectional approach, their effectiveness and success is highly inadequate</w:t>
      </w:r>
      <w:r w:rsidR="009E43B4" w:rsidRPr="00743606">
        <w:rPr>
          <w:rFonts w:ascii="Arial" w:hAnsi="Arial" w:cs="Arial"/>
          <w:lang w:val="en-GB"/>
        </w:rPr>
        <w:t>.</w:t>
      </w:r>
      <w:r w:rsidR="00E76119" w:rsidRPr="00743606">
        <w:rPr>
          <w:rFonts w:ascii="Arial" w:hAnsi="Arial" w:cs="Arial"/>
          <w:lang w:val="en-GB"/>
        </w:rPr>
        <w:t xml:space="preserve"> </w:t>
      </w:r>
      <w:r w:rsidR="00FC4C14" w:rsidRPr="00743606">
        <w:rPr>
          <w:rFonts w:ascii="Arial" w:hAnsi="Arial" w:cs="Arial"/>
          <w:lang w:val="en-GB"/>
        </w:rPr>
        <w:t xml:space="preserve">For example, </w:t>
      </w:r>
      <w:r w:rsidR="000D1A66" w:rsidRPr="00743606">
        <w:rPr>
          <w:rFonts w:ascii="Arial" w:hAnsi="Arial" w:cs="Arial"/>
          <w:lang w:val="en-GB"/>
        </w:rPr>
        <w:t>the</w:t>
      </w:r>
      <w:r w:rsidR="00504069" w:rsidRPr="00743606">
        <w:rPr>
          <w:rFonts w:ascii="Arial" w:hAnsi="Arial" w:cs="Arial"/>
          <w:lang w:val="en-GB"/>
        </w:rPr>
        <w:t xml:space="preserve"> </w:t>
      </w:r>
      <w:r w:rsidR="000D1A66">
        <w:rPr>
          <w:rFonts w:ascii="Arial" w:hAnsi="Arial" w:cs="Arial"/>
          <w:lang w:val="en-GB"/>
        </w:rPr>
        <w:t>“</w:t>
      </w:r>
      <w:r w:rsidR="00504069" w:rsidRPr="00743606">
        <w:rPr>
          <w:rFonts w:ascii="Arial" w:hAnsi="Arial" w:cs="Arial"/>
          <w:lang w:val="en-GB"/>
        </w:rPr>
        <w:t>Strategy Document for Roma People</w:t>
      </w:r>
      <w:r w:rsidR="000D1A66">
        <w:rPr>
          <w:rFonts w:ascii="Arial" w:hAnsi="Arial" w:cs="Arial"/>
          <w:lang w:val="en-GB"/>
        </w:rPr>
        <w:t>”</w:t>
      </w:r>
      <w:r w:rsidR="00F83767" w:rsidRPr="00743606">
        <w:rPr>
          <w:rFonts w:ascii="Arial" w:hAnsi="Arial" w:cs="Arial"/>
          <w:lang w:val="en-GB"/>
        </w:rPr>
        <w:t xml:space="preserve">, accepted in </w:t>
      </w:r>
      <w:r w:rsidR="009C0EB0" w:rsidRPr="00743606">
        <w:rPr>
          <w:rFonts w:ascii="Arial" w:hAnsi="Arial" w:cs="Arial"/>
          <w:lang w:val="en-GB"/>
        </w:rPr>
        <w:t xml:space="preserve">April 2016 </w:t>
      </w:r>
      <w:r w:rsidR="00F42BE6" w:rsidRPr="00743606">
        <w:rPr>
          <w:rFonts w:ascii="Arial" w:hAnsi="Arial" w:cs="Arial"/>
          <w:lang w:val="en-GB"/>
        </w:rPr>
        <w:t xml:space="preserve">lacks a </w:t>
      </w:r>
      <w:r w:rsidR="009C0EB0" w:rsidRPr="00743606">
        <w:rPr>
          <w:rFonts w:ascii="Arial" w:hAnsi="Arial" w:cs="Arial"/>
          <w:lang w:val="en-GB"/>
        </w:rPr>
        <w:t>section fo</w:t>
      </w:r>
      <w:r w:rsidR="006932F9" w:rsidRPr="00743606">
        <w:rPr>
          <w:rFonts w:ascii="Arial" w:hAnsi="Arial" w:cs="Arial"/>
          <w:lang w:val="en-GB"/>
        </w:rPr>
        <w:t>r monitoring its implementation. A</w:t>
      </w:r>
      <w:r w:rsidR="005F3825" w:rsidRPr="00743606">
        <w:rPr>
          <w:rFonts w:ascii="Arial" w:hAnsi="Arial" w:cs="Arial"/>
          <w:lang w:val="en-GB"/>
        </w:rPr>
        <w:t xml:space="preserve">fter its acceptance, </w:t>
      </w:r>
      <w:r w:rsidR="002F1794" w:rsidRPr="00743606">
        <w:rPr>
          <w:rFonts w:ascii="Arial" w:hAnsi="Arial" w:cs="Arial"/>
          <w:lang w:val="en-GB"/>
        </w:rPr>
        <w:t xml:space="preserve">problems have not decreased </w:t>
      </w:r>
      <w:r w:rsidR="009E43B4" w:rsidRPr="00743606">
        <w:rPr>
          <w:rFonts w:ascii="Arial" w:hAnsi="Arial" w:cs="Arial"/>
          <w:lang w:val="en-GB"/>
        </w:rPr>
        <w:t xml:space="preserve">in </w:t>
      </w:r>
      <w:r w:rsidR="002F1794" w:rsidRPr="00743606">
        <w:rPr>
          <w:rFonts w:ascii="Arial" w:hAnsi="Arial" w:cs="Arial"/>
          <w:lang w:val="en-GB"/>
        </w:rPr>
        <w:t xml:space="preserve">the areas </w:t>
      </w:r>
      <w:r w:rsidR="009E43B4" w:rsidRPr="00743606">
        <w:rPr>
          <w:rFonts w:ascii="Arial" w:hAnsi="Arial" w:cs="Arial"/>
          <w:lang w:val="en-GB"/>
        </w:rPr>
        <w:t xml:space="preserve">of shelter, employment, education and discrimination, </w:t>
      </w:r>
      <w:r w:rsidR="002F1794" w:rsidRPr="00743606">
        <w:rPr>
          <w:rFonts w:ascii="Arial" w:hAnsi="Arial" w:cs="Arial"/>
          <w:lang w:val="en-GB"/>
        </w:rPr>
        <w:t>which the paper focus</w:t>
      </w:r>
      <w:r w:rsidR="000D1A66">
        <w:rPr>
          <w:rFonts w:ascii="Arial" w:hAnsi="Arial" w:cs="Arial"/>
          <w:lang w:val="en-GB"/>
        </w:rPr>
        <w:t>es</w:t>
      </w:r>
      <w:r w:rsidR="002F1794" w:rsidRPr="00743606">
        <w:rPr>
          <w:rFonts w:ascii="Arial" w:hAnsi="Arial" w:cs="Arial"/>
          <w:lang w:val="en-GB"/>
        </w:rPr>
        <w:t xml:space="preserve"> on.</w:t>
      </w:r>
      <w:r w:rsidR="00902A2E">
        <w:rPr>
          <w:rStyle w:val="DipnotBavurusu"/>
          <w:rFonts w:ascii="Arial" w:hAnsi="Arial" w:cs="Arial"/>
          <w:lang w:val="en-GB"/>
        </w:rPr>
        <w:footnoteReference w:id="8"/>
      </w:r>
    </w:p>
    <w:p w:rsidR="009B1543" w:rsidRPr="009B1543" w:rsidRDefault="009B1543" w:rsidP="00887ECA">
      <w:pPr>
        <w:pStyle w:val="ListeParagraf"/>
        <w:spacing w:line="276" w:lineRule="auto"/>
        <w:jc w:val="both"/>
        <w:rPr>
          <w:rFonts w:ascii="Arial" w:hAnsi="Arial" w:cs="Arial"/>
          <w:lang w:val="en-GB"/>
        </w:rPr>
      </w:pPr>
    </w:p>
    <w:p w:rsidR="002F559F" w:rsidRPr="00743606" w:rsidRDefault="00167193"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W</w:t>
      </w:r>
      <w:r w:rsidR="00273877" w:rsidRPr="00743606">
        <w:rPr>
          <w:rFonts w:ascii="Arial" w:hAnsi="Arial" w:cs="Arial"/>
          <w:lang w:val="en-GB"/>
        </w:rPr>
        <w:t xml:space="preserve">ithholding </w:t>
      </w:r>
      <w:r w:rsidR="00BE7C6B" w:rsidRPr="00743606">
        <w:rPr>
          <w:rFonts w:ascii="Arial" w:hAnsi="Arial" w:cs="Arial"/>
          <w:lang w:val="en-GB"/>
        </w:rPr>
        <w:t xml:space="preserve">of </w:t>
      </w:r>
      <w:r w:rsidR="00273877" w:rsidRPr="00743606">
        <w:rPr>
          <w:rFonts w:ascii="Arial" w:hAnsi="Arial" w:cs="Arial"/>
          <w:lang w:val="en-GB"/>
        </w:rPr>
        <w:t xml:space="preserve">official status </w:t>
      </w:r>
      <w:r w:rsidR="0003334D">
        <w:rPr>
          <w:rFonts w:ascii="Arial" w:hAnsi="Arial" w:cs="Arial"/>
          <w:lang w:val="en-GB"/>
        </w:rPr>
        <w:t>f</w:t>
      </w:r>
      <w:r w:rsidR="00273877" w:rsidRPr="00743606">
        <w:rPr>
          <w:rFonts w:ascii="Arial" w:hAnsi="Arial" w:cs="Arial"/>
          <w:lang w:val="en-GB"/>
        </w:rPr>
        <w:t>o</w:t>
      </w:r>
      <w:r w:rsidR="0003334D">
        <w:rPr>
          <w:rFonts w:ascii="Arial" w:hAnsi="Arial" w:cs="Arial"/>
          <w:lang w:val="en-GB"/>
        </w:rPr>
        <w:t>r</w:t>
      </w:r>
      <w:r w:rsidR="00273877" w:rsidRPr="00743606">
        <w:rPr>
          <w:rFonts w:ascii="Arial" w:hAnsi="Arial" w:cs="Arial"/>
          <w:lang w:val="en-GB"/>
        </w:rPr>
        <w:t xml:space="preserve"> </w:t>
      </w:r>
      <w:r w:rsidR="007F1CE8" w:rsidRPr="00743606">
        <w:rPr>
          <w:rFonts w:ascii="Arial" w:hAnsi="Arial" w:cs="Arial"/>
          <w:lang w:val="en-GB"/>
        </w:rPr>
        <w:t xml:space="preserve">places of worship </w:t>
      </w:r>
      <w:r w:rsidR="00114FA5" w:rsidRPr="00743606">
        <w:rPr>
          <w:rFonts w:ascii="Arial" w:hAnsi="Arial" w:cs="Arial"/>
          <w:lang w:val="en-GB"/>
        </w:rPr>
        <w:t xml:space="preserve">of </w:t>
      </w:r>
      <w:r w:rsidR="007F1CE8" w:rsidRPr="00743606">
        <w:rPr>
          <w:rFonts w:ascii="Arial" w:hAnsi="Arial" w:cs="Arial"/>
          <w:lang w:val="en-GB"/>
        </w:rPr>
        <w:t xml:space="preserve">religious minorities </w:t>
      </w:r>
      <w:r w:rsidR="008C549F" w:rsidRPr="00743606">
        <w:rPr>
          <w:rFonts w:ascii="Arial" w:hAnsi="Arial" w:cs="Arial"/>
          <w:lang w:val="en-GB"/>
        </w:rPr>
        <w:t xml:space="preserve">has been </w:t>
      </w:r>
      <w:r w:rsidR="00592D4D">
        <w:rPr>
          <w:rFonts w:ascii="Arial" w:hAnsi="Arial" w:cs="Arial"/>
          <w:lang w:val="en-GB"/>
        </w:rPr>
        <w:t xml:space="preserve">references </w:t>
      </w:r>
      <w:r w:rsidR="00114FA5" w:rsidRPr="00743606">
        <w:rPr>
          <w:rFonts w:ascii="Arial" w:hAnsi="Arial" w:cs="Arial"/>
          <w:lang w:val="en-GB"/>
        </w:rPr>
        <w:t xml:space="preserve">in </w:t>
      </w:r>
      <w:r w:rsidR="008C549F" w:rsidRPr="00743606">
        <w:rPr>
          <w:rFonts w:ascii="Arial" w:hAnsi="Arial" w:cs="Arial"/>
          <w:lang w:val="en-GB"/>
        </w:rPr>
        <w:t xml:space="preserve">numerous </w:t>
      </w:r>
      <w:r w:rsidR="00805AE5" w:rsidRPr="00743606">
        <w:rPr>
          <w:rFonts w:ascii="Arial" w:hAnsi="Arial" w:cs="Arial"/>
          <w:lang w:val="en-GB"/>
        </w:rPr>
        <w:t>recommendations in the 2015 cycle</w:t>
      </w:r>
      <w:r w:rsidR="00C23AA8">
        <w:rPr>
          <w:rFonts w:ascii="Arial" w:hAnsi="Arial" w:cs="Arial"/>
          <w:lang w:val="en-GB"/>
        </w:rPr>
        <w:t>;</w:t>
      </w:r>
      <w:r w:rsidR="00842031">
        <w:rPr>
          <w:rStyle w:val="DipnotBavurusu"/>
          <w:rFonts w:ascii="Arial" w:hAnsi="Arial" w:cs="Arial"/>
          <w:lang w:val="en-GB"/>
        </w:rPr>
        <w:footnoteReference w:id="9"/>
      </w:r>
      <w:r w:rsidRPr="00743606">
        <w:rPr>
          <w:rFonts w:ascii="Arial" w:hAnsi="Arial" w:cs="Arial"/>
          <w:lang w:val="en-GB"/>
        </w:rPr>
        <w:t xml:space="preserve"> </w:t>
      </w:r>
      <w:r w:rsidR="004058F6" w:rsidRPr="00743606">
        <w:rPr>
          <w:rFonts w:ascii="Arial" w:hAnsi="Arial" w:cs="Arial"/>
          <w:lang w:val="en-GB"/>
        </w:rPr>
        <w:t xml:space="preserve">but </w:t>
      </w:r>
      <w:r w:rsidRPr="00743606">
        <w:rPr>
          <w:rFonts w:ascii="Arial" w:hAnsi="Arial" w:cs="Arial"/>
          <w:lang w:val="en-GB"/>
        </w:rPr>
        <w:t xml:space="preserve">the obstacles in this respect have continued </w:t>
      </w:r>
      <w:r w:rsidR="006B2409" w:rsidRPr="00743606">
        <w:rPr>
          <w:rFonts w:ascii="Arial" w:hAnsi="Arial" w:cs="Arial"/>
          <w:lang w:val="en-GB"/>
        </w:rPr>
        <w:t>systematically</w:t>
      </w:r>
      <w:r w:rsidRPr="00743606">
        <w:rPr>
          <w:rFonts w:ascii="Arial" w:hAnsi="Arial" w:cs="Arial"/>
          <w:lang w:val="en-GB"/>
        </w:rPr>
        <w:t xml:space="preserve">, therefore no </w:t>
      </w:r>
      <w:r w:rsidR="009A5A6E" w:rsidRPr="00743606">
        <w:rPr>
          <w:rFonts w:ascii="Arial" w:hAnsi="Arial" w:cs="Arial"/>
          <w:lang w:val="en-GB"/>
        </w:rPr>
        <w:t xml:space="preserve">progress has been recorded. </w:t>
      </w:r>
      <w:r w:rsidR="00977E7E" w:rsidRPr="00743606">
        <w:rPr>
          <w:rFonts w:ascii="Arial" w:hAnsi="Arial" w:cs="Arial"/>
          <w:lang w:val="en-GB"/>
        </w:rPr>
        <w:t>M</w:t>
      </w:r>
      <w:r w:rsidR="00B219F8" w:rsidRPr="00743606">
        <w:rPr>
          <w:rFonts w:ascii="Arial" w:hAnsi="Arial" w:cs="Arial"/>
          <w:lang w:val="en-GB"/>
        </w:rPr>
        <w:t>andatory religion classes continue in public schools, however the content does not reflect the diversity of religion or faith in Turkey, and only focuses on Sunni Muslim faith.</w:t>
      </w:r>
    </w:p>
    <w:p w:rsidR="0003188D" w:rsidRDefault="0003188D" w:rsidP="00887ECA">
      <w:pPr>
        <w:spacing w:line="276" w:lineRule="auto"/>
        <w:jc w:val="both"/>
        <w:rPr>
          <w:rFonts w:ascii="Arial" w:hAnsi="Arial" w:cs="Arial"/>
          <w:b/>
          <w:lang w:val="en-GB"/>
        </w:rPr>
      </w:pPr>
    </w:p>
    <w:p w:rsidR="00B219F8" w:rsidRPr="00317D0F" w:rsidRDefault="00B219F8" w:rsidP="00887ECA">
      <w:pPr>
        <w:spacing w:line="276" w:lineRule="auto"/>
        <w:jc w:val="both"/>
        <w:rPr>
          <w:rFonts w:ascii="Arial" w:hAnsi="Arial" w:cs="Arial"/>
          <w:b/>
          <w:lang w:val="en-GB"/>
        </w:rPr>
      </w:pPr>
      <w:r w:rsidRPr="00317D0F">
        <w:rPr>
          <w:rFonts w:ascii="Arial" w:hAnsi="Arial" w:cs="Arial"/>
          <w:b/>
          <w:lang w:val="en-GB"/>
        </w:rPr>
        <w:t>Our recommendations;</w:t>
      </w:r>
    </w:p>
    <w:p w:rsidR="00B219F8" w:rsidRDefault="00B451F9"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 xml:space="preserve">Reservations on </w:t>
      </w:r>
      <w:r w:rsidR="00331894">
        <w:rPr>
          <w:rFonts w:ascii="Arial" w:hAnsi="Arial" w:cs="Arial"/>
          <w:lang w:val="en-GB"/>
        </w:rPr>
        <w:t>I</w:t>
      </w:r>
      <w:r w:rsidR="00275BA5">
        <w:rPr>
          <w:rFonts w:ascii="Arial" w:hAnsi="Arial" w:cs="Arial"/>
          <w:lang w:val="en-GB"/>
        </w:rPr>
        <w:t>C</w:t>
      </w:r>
      <w:r w:rsidR="003D22E7">
        <w:rPr>
          <w:rFonts w:ascii="Arial" w:hAnsi="Arial" w:cs="Arial"/>
          <w:lang w:val="en-GB"/>
        </w:rPr>
        <w:t>CPR</w:t>
      </w:r>
      <w:r w:rsidRPr="00B451F9">
        <w:rPr>
          <w:rFonts w:ascii="Arial" w:hAnsi="Arial" w:cs="Arial"/>
          <w:lang w:val="en-GB"/>
        </w:rPr>
        <w:t xml:space="preserve"> Art. 27, </w:t>
      </w:r>
      <w:r w:rsidR="00331894">
        <w:rPr>
          <w:rFonts w:ascii="Arial" w:hAnsi="Arial" w:cs="Arial"/>
          <w:lang w:val="en-GB"/>
        </w:rPr>
        <w:t>I</w:t>
      </w:r>
      <w:r w:rsidR="003D22E7">
        <w:rPr>
          <w:rFonts w:ascii="Arial" w:hAnsi="Arial" w:cs="Arial"/>
          <w:lang w:val="en-GB"/>
        </w:rPr>
        <w:t xml:space="preserve">CESCR </w:t>
      </w:r>
      <w:r w:rsidRPr="00B451F9">
        <w:rPr>
          <w:rFonts w:ascii="Arial" w:hAnsi="Arial" w:cs="Arial"/>
          <w:lang w:val="en-GB"/>
        </w:rPr>
        <w:t>Arts. 13(3)-(4)</w:t>
      </w:r>
      <w:r w:rsidR="002A7C73">
        <w:rPr>
          <w:rFonts w:ascii="Arial" w:hAnsi="Arial" w:cs="Arial"/>
          <w:lang w:val="en-GB"/>
        </w:rPr>
        <w:t xml:space="preserve"> </w:t>
      </w:r>
      <w:r w:rsidRPr="00B451F9">
        <w:rPr>
          <w:rFonts w:ascii="Arial" w:hAnsi="Arial" w:cs="Arial"/>
          <w:lang w:val="en-GB"/>
        </w:rPr>
        <w:t xml:space="preserve">and the </w:t>
      </w:r>
      <w:r w:rsidR="00331894">
        <w:rPr>
          <w:rFonts w:ascii="Arial" w:hAnsi="Arial" w:cs="Arial"/>
          <w:lang w:val="en-GB"/>
        </w:rPr>
        <w:t>C</w:t>
      </w:r>
      <w:r w:rsidR="003D22E7">
        <w:rPr>
          <w:rFonts w:ascii="Arial" w:hAnsi="Arial" w:cs="Arial"/>
          <w:lang w:val="en-GB"/>
        </w:rPr>
        <w:t>RC</w:t>
      </w:r>
      <w:r w:rsidRPr="00B451F9">
        <w:rPr>
          <w:rFonts w:ascii="Arial" w:hAnsi="Arial" w:cs="Arial"/>
          <w:lang w:val="en-GB"/>
        </w:rPr>
        <w:t xml:space="preserve"> Arts. 17, 29 and 30 </w:t>
      </w:r>
      <w:r>
        <w:rPr>
          <w:rFonts w:ascii="Arial" w:hAnsi="Arial" w:cs="Arial"/>
          <w:lang w:val="en-GB"/>
        </w:rPr>
        <w:t xml:space="preserve">should be lifted. </w:t>
      </w:r>
    </w:p>
    <w:p w:rsidR="009B1543" w:rsidRDefault="009B1543" w:rsidP="00887ECA">
      <w:pPr>
        <w:pStyle w:val="ListeParagraf"/>
        <w:spacing w:after="0" w:line="276" w:lineRule="auto"/>
        <w:jc w:val="both"/>
        <w:rPr>
          <w:rFonts w:ascii="Arial" w:hAnsi="Arial" w:cs="Arial"/>
          <w:lang w:val="en-GB"/>
        </w:rPr>
      </w:pPr>
    </w:p>
    <w:p w:rsidR="001C1390" w:rsidRDefault="001C1390"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Protocol No. 12 to the European Convention on Human Rights</w:t>
      </w:r>
      <w:r w:rsidR="00331894">
        <w:rPr>
          <w:rFonts w:ascii="Arial" w:hAnsi="Arial" w:cs="Arial"/>
          <w:lang w:val="en-GB"/>
        </w:rPr>
        <w:t xml:space="preserve"> (ECHR)</w:t>
      </w:r>
      <w:r>
        <w:rPr>
          <w:rFonts w:ascii="Arial" w:hAnsi="Arial" w:cs="Arial"/>
          <w:lang w:val="en-GB"/>
        </w:rPr>
        <w:t xml:space="preserve"> should be ratified. </w:t>
      </w:r>
    </w:p>
    <w:p w:rsidR="009B1543" w:rsidRPr="009B1543" w:rsidRDefault="009B1543" w:rsidP="00887ECA">
      <w:pPr>
        <w:pStyle w:val="ListeParagraf"/>
        <w:spacing w:after="0" w:line="276" w:lineRule="auto"/>
        <w:jc w:val="both"/>
        <w:rPr>
          <w:rFonts w:ascii="Arial" w:hAnsi="Arial" w:cs="Arial"/>
          <w:lang w:val="en-GB"/>
        </w:rPr>
      </w:pPr>
    </w:p>
    <w:p w:rsidR="00332AF0" w:rsidRDefault="00AE7C9A"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 xml:space="preserve">A comprehensive </w:t>
      </w:r>
      <w:r w:rsidR="00B92EE1">
        <w:rPr>
          <w:rFonts w:ascii="Arial" w:hAnsi="Arial" w:cs="Arial"/>
          <w:lang w:val="en-GB"/>
        </w:rPr>
        <w:t xml:space="preserve">anti-discrimination law should be adopted which includes the definition, </w:t>
      </w:r>
      <w:r w:rsidR="004A7990">
        <w:rPr>
          <w:rFonts w:ascii="Arial" w:hAnsi="Arial" w:cs="Arial"/>
          <w:lang w:val="en-GB"/>
        </w:rPr>
        <w:t>types</w:t>
      </w:r>
      <w:r w:rsidR="00713C0F">
        <w:rPr>
          <w:rFonts w:ascii="Arial" w:hAnsi="Arial" w:cs="Arial"/>
          <w:lang w:val="en-GB"/>
        </w:rPr>
        <w:t xml:space="preserve">, </w:t>
      </w:r>
      <w:r w:rsidR="004A7990">
        <w:rPr>
          <w:rFonts w:ascii="Arial" w:hAnsi="Arial" w:cs="Arial"/>
          <w:lang w:val="en-GB"/>
        </w:rPr>
        <w:t xml:space="preserve">basis </w:t>
      </w:r>
      <w:r w:rsidR="00713C0F">
        <w:rPr>
          <w:rFonts w:ascii="Arial" w:hAnsi="Arial" w:cs="Arial"/>
          <w:lang w:val="en-GB"/>
        </w:rPr>
        <w:t xml:space="preserve">and penal sanctions </w:t>
      </w:r>
      <w:r w:rsidR="004A7990">
        <w:rPr>
          <w:rFonts w:ascii="Arial" w:hAnsi="Arial" w:cs="Arial"/>
          <w:lang w:val="en-GB"/>
        </w:rPr>
        <w:t xml:space="preserve">for the effective prohibition of discrimination. </w:t>
      </w:r>
    </w:p>
    <w:p w:rsidR="009B1543" w:rsidRPr="009B1543" w:rsidRDefault="009B1543" w:rsidP="00887ECA">
      <w:pPr>
        <w:pStyle w:val="ListeParagraf"/>
        <w:spacing w:after="0" w:line="276" w:lineRule="auto"/>
        <w:jc w:val="both"/>
        <w:rPr>
          <w:rFonts w:ascii="Arial" w:hAnsi="Arial" w:cs="Arial"/>
          <w:lang w:val="en-GB"/>
        </w:rPr>
      </w:pPr>
    </w:p>
    <w:p w:rsidR="00531FA6" w:rsidRDefault="00F45D3E"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Claims of discrimination and hate crime should be effectively investigated by judicial and investigative authorities as well as national preventi</w:t>
      </w:r>
      <w:r w:rsidR="008713BB">
        <w:rPr>
          <w:rFonts w:ascii="Arial" w:hAnsi="Arial" w:cs="Arial"/>
          <w:lang w:val="en-GB"/>
        </w:rPr>
        <w:t>on</w:t>
      </w:r>
      <w:r>
        <w:rPr>
          <w:rFonts w:ascii="Arial" w:hAnsi="Arial" w:cs="Arial"/>
          <w:lang w:val="en-GB"/>
        </w:rPr>
        <w:t xml:space="preserve"> mechanisms.</w:t>
      </w:r>
    </w:p>
    <w:p w:rsidR="009B1543" w:rsidRPr="009B1543" w:rsidRDefault="009B1543" w:rsidP="00887ECA">
      <w:pPr>
        <w:pStyle w:val="ListeParagraf"/>
        <w:spacing w:after="0" w:line="276" w:lineRule="auto"/>
        <w:jc w:val="both"/>
        <w:rPr>
          <w:rFonts w:ascii="Arial" w:hAnsi="Arial" w:cs="Arial"/>
          <w:lang w:val="en-GB"/>
        </w:rPr>
      </w:pPr>
    </w:p>
    <w:p w:rsidR="00F45D3E" w:rsidRDefault="00754AD1"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Disaggregated data should be collected on race, ethnic origin, religion or belief, and shared with th</w:t>
      </w:r>
      <w:r w:rsidR="00370DAE">
        <w:rPr>
          <w:rFonts w:ascii="Arial" w:hAnsi="Arial" w:cs="Arial"/>
          <w:lang w:val="en-GB"/>
        </w:rPr>
        <w:t xml:space="preserve">e </w:t>
      </w:r>
      <w:r>
        <w:rPr>
          <w:rFonts w:ascii="Arial" w:hAnsi="Arial" w:cs="Arial"/>
          <w:lang w:val="en-GB"/>
        </w:rPr>
        <w:t xml:space="preserve">public. </w:t>
      </w:r>
    </w:p>
    <w:p w:rsidR="009B1543" w:rsidRPr="009B1543" w:rsidRDefault="009B1543" w:rsidP="00887ECA">
      <w:pPr>
        <w:pStyle w:val="ListeParagraf"/>
        <w:spacing w:line="276" w:lineRule="auto"/>
        <w:jc w:val="both"/>
        <w:rPr>
          <w:rFonts w:ascii="Arial" w:hAnsi="Arial" w:cs="Arial"/>
          <w:lang w:val="en-GB"/>
        </w:rPr>
      </w:pPr>
    </w:p>
    <w:p w:rsidR="00370DAE" w:rsidRDefault="00370DAE"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 xml:space="preserve">Legal amendments should be made to ensure </w:t>
      </w:r>
      <w:r w:rsidR="003D15D7">
        <w:rPr>
          <w:rFonts w:ascii="Arial" w:hAnsi="Arial" w:cs="Arial"/>
          <w:lang w:val="en-GB"/>
        </w:rPr>
        <w:t xml:space="preserve">the enjoyment of rights and protections </w:t>
      </w:r>
      <w:r w:rsidR="000F6BE7">
        <w:rPr>
          <w:rFonts w:ascii="Arial" w:hAnsi="Arial" w:cs="Arial"/>
          <w:lang w:val="en-GB"/>
        </w:rPr>
        <w:t xml:space="preserve">provided by international conventions, </w:t>
      </w:r>
      <w:r w:rsidR="003D15D7">
        <w:rPr>
          <w:rFonts w:ascii="Arial" w:hAnsi="Arial" w:cs="Arial"/>
          <w:lang w:val="en-GB"/>
        </w:rPr>
        <w:t>afforded to all ethnic and religious minorities.</w:t>
      </w:r>
    </w:p>
    <w:p w:rsidR="009B1543" w:rsidRPr="009B1543" w:rsidRDefault="009B1543" w:rsidP="00887ECA">
      <w:pPr>
        <w:pStyle w:val="ListeParagraf"/>
        <w:spacing w:after="0" w:line="276" w:lineRule="auto"/>
        <w:jc w:val="both"/>
        <w:rPr>
          <w:rFonts w:ascii="Arial" w:hAnsi="Arial" w:cs="Arial"/>
          <w:lang w:val="en-GB"/>
        </w:rPr>
      </w:pPr>
    </w:p>
    <w:p w:rsidR="008F16A9" w:rsidRDefault="00090360"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Official status should be afforded to places of worship for all religious minorities and it should be ensured that they benefit from the general budget on an equal basis with all groups</w:t>
      </w:r>
      <w:r w:rsidR="00810B7A">
        <w:rPr>
          <w:rFonts w:ascii="Arial" w:hAnsi="Arial" w:cs="Arial"/>
          <w:lang w:val="en-GB"/>
        </w:rPr>
        <w:t>.</w:t>
      </w:r>
    </w:p>
    <w:p w:rsidR="009B1543" w:rsidRPr="009B1543" w:rsidRDefault="009B1543" w:rsidP="00887ECA">
      <w:pPr>
        <w:pStyle w:val="ListeParagraf"/>
        <w:spacing w:after="0" w:line="276" w:lineRule="auto"/>
        <w:jc w:val="both"/>
        <w:rPr>
          <w:rFonts w:ascii="Arial" w:hAnsi="Arial" w:cs="Arial"/>
          <w:lang w:val="en-GB"/>
        </w:rPr>
      </w:pPr>
    </w:p>
    <w:p w:rsidR="00D622D5" w:rsidRPr="00E74AC0" w:rsidRDefault="004A57E9"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F</w:t>
      </w:r>
      <w:r w:rsidR="00E74AC0">
        <w:rPr>
          <w:rFonts w:ascii="Arial" w:hAnsi="Arial" w:cs="Arial"/>
          <w:lang w:val="en-GB"/>
        </w:rPr>
        <w:t xml:space="preserve">ull compliance of </w:t>
      </w:r>
      <w:r w:rsidR="000E7AD2">
        <w:rPr>
          <w:rFonts w:ascii="Arial" w:hAnsi="Arial" w:cs="Arial"/>
          <w:lang w:val="en-GB"/>
        </w:rPr>
        <w:t>TIHEK</w:t>
      </w:r>
      <w:r w:rsidR="00E74AC0" w:rsidRPr="00E74AC0">
        <w:rPr>
          <w:rFonts w:ascii="Arial" w:hAnsi="Arial" w:cs="Arial"/>
          <w:lang w:val="en-GB"/>
        </w:rPr>
        <w:t xml:space="preserve"> and the Ombudsman Institution</w:t>
      </w:r>
      <w:r w:rsidR="00E74AC0">
        <w:rPr>
          <w:rFonts w:ascii="Arial" w:hAnsi="Arial" w:cs="Arial"/>
          <w:lang w:val="en-GB"/>
        </w:rPr>
        <w:t xml:space="preserve"> with the Paris Principles</w:t>
      </w:r>
      <w:r w:rsidR="00D165AD">
        <w:rPr>
          <w:rFonts w:ascii="Arial" w:hAnsi="Arial" w:cs="Arial"/>
          <w:lang w:val="en-GB"/>
        </w:rPr>
        <w:t xml:space="preserve"> should be ensured</w:t>
      </w:r>
      <w:r w:rsidR="00E74AC0">
        <w:rPr>
          <w:rFonts w:ascii="Arial" w:hAnsi="Arial" w:cs="Arial"/>
          <w:lang w:val="en-GB"/>
        </w:rPr>
        <w:t xml:space="preserve">, </w:t>
      </w:r>
      <w:r w:rsidR="00D165AD">
        <w:rPr>
          <w:rFonts w:ascii="Arial" w:hAnsi="Arial" w:cs="Arial"/>
          <w:lang w:val="en-GB"/>
        </w:rPr>
        <w:t xml:space="preserve">especially in terms of </w:t>
      </w:r>
      <w:r w:rsidR="00E74AC0">
        <w:rPr>
          <w:rFonts w:ascii="Arial" w:hAnsi="Arial" w:cs="Arial"/>
          <w:lang w:val="en-GB"/>
        </w:rPr>
        <w:t>structure and mandate</w:t>
      </w:r>
      <w:r w:rsidR="00D165AD">
        <w:rPr>
          <w:rFonts w:ascii="Arial" w:hAnsi="Arial" w:cs="Arial"/>
          <w:lang w:val="en-GB"/>
        </w:rPr>
        <w:t>.</w:t>
      </w:r>
    </w:p>
    <w:p w:rsidR="00317D0F" w:rsidRDefault="00317D0F" w:rsidP="00887ECA">
      <w:pPr>
        <w:spacing w:after="0" w:line="276" w:lineRule="auto"/>
        <w:jc w:val="both"/>
        <w:rPr>
          <w:rFonts w:ascii="Arial" w:hAnsi="Arial" w:cs="Arial"/>
          <w:b/>
          <w:lang w:val="en-GB"/>
        </w:rPr>
      </w:pPr>
      <w:r>
        <w:rPr>
          <w:rFonts w:ascii="Arial" w:hAnsi="Arial" w:cs="Arial"/>
          <w:b/>
          <w:lang w:val="en-GB"/>
        </w:rPr>
        <w:br w:type="page"/>
      </w:r>
    </w:p>
    <w:p w:rsidR="009B1543" w:rsidRDefault="00B618D1" w:rsidP="00887ECA">
      <w:pPr>
        <w:pStyle w:val="Balk1"/>
        <w:spacing w:line="276" w:lineRule="auto"/>
        <w:jc w:val="both"/>
        <w:rPr>
          <w:b/>
          <w:sz w:val="28"/>
          <w:lang w:val="en-GB"/>
        </w:rPr>
      </w:pPr>
      <w:r w:rsidRPr="00317D0F">
        <w:rPr>
          <w:b/>
          <w:sz w:val="28"/>
          <w:lang w:val="en-GB"/>
        </w:rPr>
        <w:lastRenderedPageBreak/>
        <w:t>Disability Rights</w:t>
      </w:r>
    </w:p>
    <w:p w:rsidR="009B1543" w:rsidRPr="009B1543" w:rsidRDefault="009B1543" w:rsidP="00887ECA">
      <w:pPr>
        <w:spacing w:line="276" w:lineRule="auto"/>
        <w:jc w:val="both"/>
        <w:rPr>
          <w:lang w:val="en-GB"/>
        </w:rPr>
      </w:pPr>
    </w:p>
    <w:p w:rsidR="00743606" w:rsidRDefault="00B618D1"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Turkey has signed the Convention on the Rights of Persons with Disabilities</w:t>
      </w:r>
      <w:r w:rsidR="008C05EA">
        <w:rPr>
          <w:rFonts w:ascii="Arial" w:hAnsi="Arial" w:cs="Arial"/>
          <w:lang w:val="en-GB"/>
        </w:rPr>
        <w:t xml:space="preserve"> (CR</w:t>
      </w:r>
      <w:r w:rsidR="00267E88">
        <w:rPr>
          <w:rFonts w:ascii="Arial" w:hAnsi="Arial" w:cs="Arial"/>
          <w:lang w:val="en-GB"/>
        </w:rPr>
        <w:t>PD</w:t>
      </w:r>
      <w:r w:rsidR="004F1B7F">
        <w:rPr>
          <w:rFonts w:ascii="Arial" w:hAnsi="Arial" w:cs="Arial"/>
          <w:lang w:val="en-GB"/>
        </w:rPr>
        <w:t xml:space="preserve"> or Convention hereinafter</w:t>
      </w:r>
      <w:r w:rsidR="00267E88">
        <w:rPr>
          <w:rFonts w:ascii="Arial" w:hAnsi="Arial" w:cs="Arial"/>
          <w:lang w:val="en-GB"/>
        </w:rPr>
        <w:t>)</w:t>
      </w:r>
      <w:r w:rsidRPr="00743606">
        <w:rPr>
          <w:rFonts w:ascii="Arial" w:hAnsi="Arial" w:cs="Arial"/>
          <w:lang w:val="en-GB"/>
        </w:rPr>
        <w:t xml:space="preserve"> </w:t>
      </w:r>
      <w:r w:rsidR="0085002A" w:rsidRPr="00743606">
        <w:rPr>
          <w:rFonts w:ascii="Arial" w:hAnsi="Arial" w:cs="Arial"/>
          <w:lang w:val="en-GB"/>
        </w:rPr>
        <w:t xml:space="preserve">in </w:t>
      </w:r>
      <w:r w:rsidRPr="00743606">
        <w:rPr>
          <w:rFonts w:ascii="Arial" w:hAnsi="Arial" w:cs="Arial"/>
          <w:lang w:val="en-GB"/>
        </w:rPr>
        <w:t xml:space="preserve">2007, and ratified in 2008. Turkey has no declarations or reservations concerning this particular Treaty. The Optional Protocol has entered into force following </w:t>
      </w:r>
      <w:r w:rsidR="004F5C6C" w:rsidRPr="00743606">
        <w:rPr>
          <w:rFonts w:ascii="Arial" w:hAnsi="Arial" w:cs="Arial"/>
          <w:lang w:val="en-GB"/>
        </w:rPr>
        <w:t xml:space="preserve">signature in 2009 and </w:t>
      </w:r>
      <w:r w:rsidRPr="00743606">
        <w:rPr>
          <w:rFonts w:ascii="Arial" w:hAnsi="Arial" w:cs="Arial"/>
          <w:lang w:val="en-GB"/>
        </w:rPr>
        <w:t xml:space="preserve">ratification </w:t>
      </w:r>
      <w:r w:rsidR="0085002A" w:rsidRPr="00743606">
        <w:rPr>
          <w:rFonts w:ascii="Arial" w:hAnsi="Arial" w:cs="Arial"/>
          <w:lang w:val="en-GB"/>
        </w:rPr>
        <w:t xml:space="preserve">in </w:t>
      </w:r>
      <w:r w:rsidRPr="00743606">
        <w:rPr>
          <w:rFonts w:ascii="Arial" w:hAnsi="Arial" w:cs="Arial"/>
          <w:lang w:val="en-GB"/>
        </w:rPr>
        <w:t xml:space="preserve">2015. </w:t>
      </w:r>
    </w:p>
    <w:p w:rsidR="009B1543" w:rsidRDefault="009B1543" w:rsidP="00887ECA">
      <w:pPr>
        <w:pStyle w:val="ListeParagraf"/>
        <w:spacing w:line="276" w:lineRule="auto"/>
        <w:jc w:val="both"/>
        <w:rPr>
          <w:rFonts w:ascii="Arial" w:hAnsi="Arial" w:cs="Arial"/>
          <w:lang w:val="en-GB"/>
        </w:rPr>
      </w:pPr>
    </w:p>
    <w:p w:rsidR="00743606" w:rsidRDefault="00B618D1"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 xml:space="preserve">Turkey fails to fulfil many obligations arising from the CRPD. The policies of the State Party on disability are formed on the axis of medical and charity approach. Domestic law has not been harmonised with the Convention, numerous legislation </w:t>
      </w:r>
      <w:r w:rsidR="001A2264" w:rsidRPr="00743606">
        <w:rPr>
          <w:rFonts w:ascii="Arial" w:hAnsi="Arial" w:cs="Arial"/>
          <w:lang w:val="en-GB"/>
        </w:rPr>
        <w:t>and</w:t>
      </w:r>
      <w:r w:rsidRPr="00743606">
        <w:rPr>
          <w:rFonts w:ascii="Arial" w:hAnsi="Arial" w:cs="Arial"/>
          <w:lang w:val="en-GB"/>
        </w:rPr>
        <w:t xml:space="preserve"> regulations</w:t>
      </w:r>
      <w:r w:rsidR="00744565" w:rsidRPr="00743606">
        <w:rPr>
          <w:rFonts w:ascii="Arial" w:hAnsi="Arial" w:cs="Arial"/>
          <w:lang w:val="en-GB"/>
        </w:rPr>
        <w:t xml:space="preserve"> still</w:t>
      </w:r>
      <w:r w:rsidRPr="00743606">
        <w:rPr>
          <w:rFonts w:ascii="Arial" w:hAnsi="Arial" w:cs="Arial"/>
          <w:lang w:val="en-GB"/>
        </w:rPr>
        <w:t xml:space="preserve"> contain discriminatory provisions on disability. Discrimination on the basis of </w:t>
      </w:r>
      <w:r w:rsidR="001F47C8" w:rsidRPr="00743606">
        <w:rPr>
          <w:rFonts w:ascii="Arial" w:hAnsi="Arial" w:cs="Arial"/>
          <w:lang w:val="en-GB"/>
        </w:rPr>
        <w:t>disability has been prohibited i</w:t>
      </w:r>
      <w:r w:rsidRPr="00743606">
        <w:rPr>
          <w:rFonts w:ascii="Arial" w:hAnsi="Arial" w:cs="Arial"/>
          <w:lang w:val="en-GB"/>
        </w:rPr>
        <w:t>n the Disability Act</w:t>
      </w:r>
      <w:r w:rsidR="001E74B8" w:rsidRPr="00817133">
        <w:rPr>
          <w:rStyle w:val="DipnotBavurusu"/>
          <w:rFonts w:ascii="Arial" w:hAnsi="Arial" w:cs="Arial"/>
          <w:lang w:val="en-GB"/>
        </w:rPr>
        <w:footnoteReference w:id="10"/>
      </w:r>
      <w:r w:rsidRPr="00743606">
        <w:rPr>
          <w:rFonts w:ascii="Arial" w:hAnsi="Arial" w:cs="Arial"/>
          <w:lang w:val="en-GB"/>
        </w:rPr>
        <w:t xml:space="preserve">, </w:t>
      </w:r>
      <w:r w:rsidR="00C84254" w:rsidRPr="00743606">
        <w:rPr>
          <w:rFonts w:ascii="Arial" w:hAnsi="Arial" w:cs="Arial"/>
          <w:lang w:val="en-GB"/>
        </w:rPr>
        <w:t xml:space="preserve">but no </w:t>
      </w:r>
      <w:r w:rsidRPr="00743606">
        <w:rPr>
          <w:rFonts w:ascii="Arial" w:hAnsi="Arial" w:cs="Arial"/>
          <w:lang w:val="en-GB"/>
        </w:rPr>
        <w:t>penal sanctions for the perpetrators of discrimination</w:t>
      </w:r>
      <w:r w:rsidR="00C84254" w:rsidRPr="00743606">
        <w:rPr>
          <w:rFonts w:ascii="Arial" w:hAnsi="Arial" w:cs="Arial"/>
          <w:lang w:val="en-GB"/>
        </w:rPr>
        <w:t xml:space="preserve"> is provided</w:t>
      </w:r>
      <w:r w:rsidRPr="00743606">
        <w:rPr>
          <w:rFonts w:ascii="Arial" w:hAnsi="Arial" w:cs="Arial"/>
          <w:lang w:val="en-GB"/>
        </w:rPr>
        <w:t>. While Article 122 of the Penal Code contains such penal sanctions, it is only concerning di</w:t>
      </w:r>
      <w:r w:rsidR="000022D9" w:rsidRPr="00743606">
        <w:rPr>
          <w:rFonts w:ascii="Arial" w:hAnsi="Arial" w:cs="Arial"/>
          <w:lang w:val="en-GB"/>
        </w:rPr>
        <w:t xml:space="preserve">scrimination motivated by </w:t>
      </w:r>
      <w:r w:rsidRPr="00743606">
        <w:rPr>
          <w:rFonts w:ascii="Arial" w:hAnsi="Arial" w:cs="Arial"/>
          <w:lang w:val="en-GB"/>
        </w:rPr>
        <w:t xml:space="preserve">hate, </w:t>
      </w:r>
      <w:r w:rsidR="000022D9" w:rsidRPr="00743606">
        <w:rPr>
          <w:rFonts w:ascii="Arial" w:hAnsi="Arial" w:cs="Arial"/>
          <w:lang w:val="en-GB"/>
        </w:rPr>
        <w:t xml:space="preserve">which </w:t>
      </w:r>
      <w:r w:rsidRPr="00743606">
        <w:rPr>
          <w:rFonts w:ascii="Arial" w:hAnsi="Arial" w:cs="Arial"/>
          <w:lang w:val="en-GB"/>
        </w:rPr>
        <w:t xml:space="preserve">has a </w:t>
      </w:r>
      <w:r w:rsidR="00F21249" w:rsidRPr="00743606">
        <w:rPr>
          <w:rFonts w:ascii="Arial" w:hAnsi="Arial" w:cs="Arial"/>
          <w:lang w:val="en-GB"/>
        </w:rPr>
        <w:t>rather</w:t>
      </w:r>
      <w:r w:rsidRPr="00743606">
        <w:rPr>
          <w:rFonts w:ascii="Arial" w:hAnsi="Arial" w:cs="Arial"/>
          <w:lang w:val="en-GB"/>
        </w:rPr>
        <w:t xml:space="preserve"> narrow scope.</w:t>
      </w:r>
    </w:p>
    <w:p w:rsidR="009B1543" w:rsidRPr="009B1543" w:rsidRDefault="009B1543" w:rsidP="00887ECA">
      <w:pPr>
        <w:pStyle w:val="ListeParagraf"/>
        <w:spacing w:line="276" w:lineRule="auto"/>
        <w:jc w:val="both"/>
        <w:rPr>
          <w:rFonts w:ascii="Arial" w:hAnsi="Arial" w:cs="Arial"/>
          <w:lang w:val="en-GB"/>
        </w:rPr>
      </w:pPr>
    </w:p>
    <w:p w:rsidR="00743606" w:rsidRDefault="00B618D1"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 xml:space="preserve">In Turkey, persons with disabilities, do not have equal opportunity in access to fundamental rights such as education, employment etc. and are subject to discrimination. Women and girls with disabilities as well as </w:t>
      </w:r>
      <w:bookmarkStart w:id="1" w:name="_Hlk25658282"/>
      <w:r w:rsidRPr="00743606">
        <w:rPr>
          <w:rFonts w:ascii="Arial" w:hAnsi="Arial" w:cs="Arial"/>
          <w:lang w:val="en-GB"/>
        </w:rPr>
        <w:t>LGBTİ+</w:t>
      </w:r>
      <w:bookmarkEnd w:id="1"/>
      <w:r w:rsidRPr="00743606">
        <w:rPr>
          <w:rFonts w:ascii="Arial" w:hAnsi="Arial" w:cs="Arial"/>
          <w:lang w:val="en-GB"/>
        </w:rPr>
        <w:t xml:space="preserve"> persons with disabilities are subject to multiple discrimination concerning access to human rights. Similarly, persons with disabilities who belong to ethnic and religious minorit</w:t>
      </w:r>
      <w:r w:rsidR="00A65926" w:rsidRPr="00743606">
        <w:rPr>
          <w:rFonts w:ascii="Arial" w:hAnsi="Arial" w:cs="Arial"/>
          <w:lang w:val="en-GB"/>
        </w:rPr>
        <w:t>ies</w:t>
      </w:r>
      <w:r w:rsidRPr="00743606">
        <w:rPr>
          <w:rFonts w:ascii="Arial" w:hAnsi="Arial" w:cs="Arial"/>
          <w:lang w:val="en-GB"/>
        </w:rPr>
        <w:t xml:space="preserve"> are also subject to multiple discrimination.</w:t>
      </w:r>
    </w:p>
    <w:p w:rsidR="009B1543" w:rsidRPr="009B1543" w:rsidRDefault="009B1543" w:rsidP="00887ECA">
      <w:pPr>
        <w:pStyle w:val="ListeParagraf"/>
        <w:spacing w:line="276" w:lineRule="auto"/>
        <w:jc w:val="both"/>
        <w:rPr>
          <w:rFonts w:ascii="Arial" w:hAnsi="Arial" w:cs="Arial"/>
          <w:lang w:val="en-GB"/>
        </w:rPr>
      </w:pPr>
    </w:p>
    <w:p w:rsidR="00743606" w:rsidRDefault="00B618D1"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 xml:space="preserve">According to official statistics, there are 4.882.841 persons with disabilities in Turkey which constitute %6,6 of the population; %57,2 are women and %42,8 men. </w:t>
      </w:r>
      <w:r w:rsidR="00E446E1" w:rsidRPr="00743606">
        <w:rPr>
          <w:rFonts w:ascii="Arial" w:hAnsi="Arial" w:cs="Arial"/>
          <w:lang w:val="en-GB"/>
        </w:rPr>
        <w:t xml:space="preserve">While </w:t>
      </w:r>
      <w:r w:rsidRPr="00743606">
        <w:rPr>
          <w:rFonts w:ascii="Arial" w:hAnsi="Arial" w:cs="Arial"/>
          <w:lang w:val="en-GB"/>
        </w:rPr>
        <w:t xml:space="preserve">%10,9 </w:t>
      </w:r>
      <w:r w:rsidR="00E446E1" w:rsidRPr="00743606">
        <w:rPr>
          <w:rFonts w:ascii="Arial" w:hAnsi="Arial" w:cs="Arial"/>
          <w:lang w:val="en-GB"/>
        </w:rPr>
        <w:t xml:space="preserve">men with disabilities </w:t>
      </w:r>
      <w:r w:rsidRPr="00743606">
        <w:rPr>
          <w:rFonts w:ascii="Arial" w:hAnsi="Arial" w:cs="Arial"/>
          <w:lang w:val="en-GB"/>
        </w:rPr>
        <w:t>are illiterate</w:t>
      </w:r>
      <w:r w:rsidR="00E446E1" w:rsidRPr="00743606">
        <w:rPr>
          <w:rFonts w:ascii="Arial" w:hAnsi="Arial" w:cs="Arial"/>
          <w:lang w:val="en-GB"/>
        </w:rPr>
        <w:t xml:space="preserve">, </w:t>
      </w:r>
      <w:r w:rsidRPr="00743606">
        <w:rPr>
          <w:rFonts w:ascii="Arial" w:hAnsi="Arial" w:cs="Arial"/>
          <w:lang w:val="en-GB"/>
        </w:rPr>
        <w:t xml:space="preserve">this goes up to %32,4 in women. Among persons with disabilities in Turkey, a total of %23,3 </w:t>
      </w:r>
      <w:r w:rsidR="00A80E40" w:rsidRPr="00743606">
        <w:rPr>
          <w:rFonts w:ascii="Arial" w:hAnsi="Arial" w:cs="Arial"/>
          <w:lang w:val="en-GB"/>
        </w:rPr>
        <w:t>is</w:t>
      </w:r>
      <w:r w:rsidRPr="00743606">
        <w:rPr>
          <w:rFonts w:ascii="Arial" w:hAnsi="Arial" w:cs="Arial"/>
          <w:lang w:val="en-GB"/>
        </w:rPr>
        <w:t xml:space="preserve"> illiterate. Only %2,6 of persons with disabilities continue through higher education. There are no statistics concerning persons with disabilities who belong to ethnic and religious minorities.</w:t>
      </w:r>
    </w:p>
    <w:p w:rsidR="009B1543" w:rsidRPr="009B1543" w:rsidRDefault="009B1543" w:rsidP="00887ECA">
      <w:pPr>
        <w:pStyle w:val="ListeParagraf"/>
        <w:spacing w:line="276" w:lineRule="auto"/>
        <w:jc w:val="both"/>
        <w:rPr>
          <w:rFonts w:ascii="Arial" w:hAnsi="Arial" w:cs="Arial"/>
          <w:lang w:val="en-GB"/>
        </w:rPr>
      </w:pPr>
    </w:p>
    <w:p w:rsidR="00F54DD6" w:rsidRPr="00F54DD6" w:rsidRDefault="00B618D1" w:rsidP="00887ECA">
      <w:pPr>
        <w:pStyle w:val="ListeParagraf"/>
        <w:numPr>
          <w:ilvl w:val="0"/>
          <w:numId w:val="6"/>
        </w:numPr>
        <w:spacing w:line="276" w:lineRule="auto"/>
        <w:jc w:val="both"/>
        <w:rPr>
          <w:rFonts w:ascii="Arial" w:hAnsi="Arial" w:cs="Arial"/>
          <w:lang w:val="en-GB"/>
        </w:rPr>
      </w:pPr>
      <w:r w:rsidRPr="00743606">
        <w:rPr>
          <w:rFonts w:ascii="Arial" w:hAnsi="Arial" w:cs="Arial"/>
          <w:lang w:val="en-GB"/>
        </w:rPr>
        <w:t>The Human Rights and Equality Institution of Turkey (TIHEK), which was established as a National Preventive Mechanism</w:t>
      </w:r>
      <w:r w:rsidR="004D7BE4" w:rsidRPr="00743606">
        <w:rPr>
          <w:rFonts w:ascii="Arial" w:hAnsi="Arial" w:cs="Arial"/>
          <w:lang w:val="en-GB"/>
        </w:rPr>
        <w:t xml:space="preserve"> and </w:t>
      </w:r>
      <w:r w:rsidRPr="00743606">
        <w:rPr>
          <w:rFonts w:ascii="Arial" w:hAnsi="Arial" w:cs="Arial"/>
          <w:lang w:val="en-GB"/>
        </w:rPr>
        <w:t>tasked with the implementation of the Convention, is neither in line with the Paris Principles nor an effective mechanism.</w:t>
      </w:r>
    </w:p>
    <w:p w:rsidR="0003188D" w:rsidRDefault="0003188D" w:rsidP="00887ECA">
      <w:pPr>
        <w:spacing w:line="276" w:lineRule="auto"/>
        <w:jc w:val="both"/>
        <w:rPr>
          <w:rFonts w:ascii="Arial" w:hAnsi="Arial" w:cs="Arial"/>
          <w:b/>
          <w:lang w:val="en-GB"/>
        </w:rPr>
      </w:pPr>
    </w:p>
    <w:p w:rsidR="000E7164" w:rsidRPr="00817133" w:rsidRDefault="00555BFF" w:rsidP="00887ECA">
      <w:pPr>
        <w:spacing w:line="276" w:lineRule="auto"/>
        <w:jc w:val="both"/>
        <w:rPr>
          <w:rFonts w:ascii="Arial" w:hAnsi="Arial" w:cs="Arial"/>
          <w:b/>
          <w:lang w:val="en-GB"/>
        </w:rPr>
      </w:pPr>
      <w:r w:rsidRPr="00817133">
        <w:rPr>
          <w:rFonts w:ascii="Arial" w:hAnsi="Arial" w:cs="Arial"/>
          <w:b/>
          <w:lang w:val="en-GB"/>
        </w:rPr>
        <w:t>Our recommendations;</w:t>
      </w:r>
    </w:p>
    <w:p w:rsidR="00555BFF" w:rsidRDefault="001B116E"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Domestic law of Turkey should be harmonised with the Convention, and </w:t>
      </w:r>
      <w:r w:rsidR="00B6563F" w:rsidRPr="00817133">
        <w:rPr>
          <w:rFonts w:ascii="Arial" w:hAnsi="Arial" w:cs="Arial"/>
          <w:lang w:val="en-GB"/>
        </w:rPr>
        <w:t xml:space="preserve">the discriminatory provisions </w:t>
      </w:r>
      <w:r w:rsidR="001A75D5" w:rsidRPr="00817133">
        <w:rPr>
          <w:rFonts w:ascii="Arial" w:hAnsi="Arial" w:cs="Arial"/>
          <w:lang w:val="en-GB"/>
        </w:rPr>
        <w:t>contained in Law No. 5147 Art</w:t>
      </w:r>
      <w:r w:rsidR="004F1B7F">
        <w:rPr>
          <w:rFonts w:ascii="Arial" w:hAnsi="Arial" w:cs="Arial"/>
          <w:lang w:val="en-GB"/>
        </w:rPr>
        <w:t>.</w:t>
      </w:r>
      <w:r w:rsidR="001A75D5" w:rsidRPr="00817133">
        <w:rPr>
          <w:rFonts w:ascii="Arial" w:hAnsi="Arial" w:cs="Arial"/>
          <w:lang w:val="en-GB"/>
        </w:rPr>
        <w:t xml:space="preserve"> 74(e), Law No. 2802 Art</w:t>
      </w:r>
      <w:r w:rsidR="004F1B7F">
        <w:rPr>
          <w:rFonts w:ascii="Arial" w:hAnsi="Arial" w:cs="Arial"/>
          <w:lang w:val="en-GB"/>
        </w:rPr>
        <w:t>.</w:t>
      </w:r>
      <w:r w:rsidR="001A75D5" w:rsidRPr="00817133">
        <w:rPr>
          <w:rFonts w:ascii="Arial" w:hAnsi="Arial" w:cs="Arial"/>
          <w:lang w:val="en-GB"/>
        </w:rPr>
        <w:t xml:space="preserve"> 8(g), and others should be repealed</w:t>
      </w:r>
      <w:r w:rsidR="004F1B7F">
        <w:rPr>
          <w:rFonts w:ascii="Arial" w:hAnsi="Arial" w:cs="Arial"/>
          <w:lang w:val="en-GB"/>
        </w:rPr>
        <w:t>;</w:t>
      </w:r>
      <w:r w:rsidR="001A75D5" w:rsidRPr="00817133">
        <w:rPr>
          <w:rFonts w:ascii="Arial" w:hAnsi="Arial" w:cs="Arial"/>
          <w:lang w:val="en-GB"/>
        </w:rPr>
        <w:t xml:space="preserve"> domestic law should be in line with the Convention’s human </w:t>
      </w:r>
      <w:proofErr w:type="gramStart"/>
      <w:r w:rsidR="004F1B7F" w:rsidRPr="00817133">
        <w:rPr>
          <w:rFonts w:ascii="Arial" w:hAnsi="Arial" w:cs="Arial"/>
          <w:lang w:val="en-GB"/>
        </w:rPr>
        <w:t>rights</w:t>
      </w:r>
      <w:r w:rsidR="004F1B7F">
        <w:rPr>
          <w:rFonts w:ascii="Arial" w:hAnsi="Arial" w:cs="Arial"/>
          <w:lang w:val="en-GB"/>
        </w:rPr>
        <w:t xml:space="preserve"> </w:t>
      </w:r>
      <w:r w:rsidR="004F1B7F" w:rsidRPr="00817133">
        <w:rPr>
          <w:rFonts w:ascii="Arial" w:hAnsi="Arial" w:cs="Arial"/>
          <w:lang w:val="en-GB"/>
        </w:rPr>
        <w:t>based</w:t>
      </w:r>
      <w:proofErr w:type="gramEnd"/>
      <w:r w:rsidR="001A75D5" w:rsidRPr="00817133">
        <w:rPr>
          <w:rFonts w:ascii="Arial" w:hAnsi="Arial" w:cs="Arial"/>
          <w:lang w:val="en-GB"/>
        </w:rPr>
        <w:t xml:space="preserve"> approach.</w:t>
      </w:r>
    </w:p>
    <w:p w:rsidR="009B1543" w:rsidRPr="00817133" w:rsidRDefault="009B1543" w:rsidP="00887ECA">
      <w:pPr>
        <w:pStyle w:val="ListeParagraf"/>
        <w:spacing w:line="276" w:lineRule="auto"/>
        <w:jc w:val="both"/>
        <w:rPr>
          <w:rFonts w:ascii="Arial" w:hAnsi="Arial" w:cs="Arial"/>
          <w:lang w:val="en-GB"/>
        </w:rPr>
      </w:pPr>
    </w:p>
    <w:p w:rsidR="001A75D5" w:rsidRDefault="00C043E3"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Penal sanctions for the perpetrators of discrimination should be added to the Disability Act, and </w:t>
      </w:r>
      <w:r w:rsidR="002122B2" w:rsidRPr="00817133">
        <w:rPr>
          <w:rFonts w:ascii="Arial" w:hAnsi="Arial" w:cs="Arial"/>
          <w:lang w:val="en-GB"/>
        </w:rPr>
        <w:t xml:space="preserve">effective investigation should be ensured for </w:t>
      </w:r>
      <w:r w:rsidR="00E350EC" w:rsidRPr="00817133">
        <w:rPr>
          <w:rFonts w:ascii="Arial" w:hAnsi="Arial" w:cs="Arial"/>
          <w:lang w:val="en-GB"/>
        </w:rPr>
        <w:t>alleged cases of discrimination</w:t>
      </w:r>
      <w:r w:rsidR="004F1B7F">
        <w:rPr>
          <w:rFonts w:ascii="Arial" w:hAnsi="Arial" w:cs="Arial"/>
          <w:lang w:val="en-GB"/>
        </w:rPr>
        <w:t>.</w:t>
      </w:r>
    </w:p>
    <w:p w:rsidR="009B1543" w:rsidRPr="009B1543" w:rsidRDefault="009B1543" w:rsidP="00887ECA">
      <w:pPr>
        <w:pStyle w:val="ListeParagraf"/>
        <w:spacing w:line="276" w:lineRule="auto"/>
        <w:jc w:val="both"/>
        <w:rPr>
          <w:rFonts w:ascii="Arial" w:hAnsi="Arial" w:cs="Arial"/>
          <w:lang w:val="en-GB"/>
        </w:rPr>
      </w:pPr>
    </w:p>
    <w:p w:rsidR="00E350EC" w:rsidRDefault="006B4237"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lastRenderedPageBreak/>
        <w:t xml:space="preserve">Persons with disabilities and </w:t>
      </w:r>
      <w:r w:rsidR="004F1B7F">
        <w:rPr>
          <w:rFonts w:ascii="Arial" w:hAnsi="Arial" w:cs="Arial"/>
          <w:lang w:val="en-GB"/>
        </w:rPr>
        <w:t>CSOs</w:t>
      </w:r>
      <w:r w:rsidRPr="00817133">
        <w:rPr>
          <w:rFonts w:ascii="Arial" w:hAnsi="Arial" w:cs="Arial"/>
          <w:lang w:val="en-GB"/>
        </w:rPr>
        <w:t xml:space="preserve"> should be included in the monitoring of the Convention</w:t>
      </w:r>
      <w:r w:rsidR="004F1B7F">
        <w:rPr>
          <w:rFonts w:ascii="Arial" w:hAnsi="Arial" w:cs="Arial"/>
          <w:lang w:val="en-GB"/>
        </w:rPr>
        <w:t>.</w:t>
      </w:r>
    </w:p>
    <w:p w:rsidR="009B1543" w:rsidRPr="009B1543" w:rsidRDefault="009B1543" w:rsidP="00887ECA">
      <w:pPr>
        <w:pStyle w:val="ListeParagraf"/>
        <w:spacing w:line="276" w:lineRule="auto"/>
        <w:jc w:val="both"/>
        <w:rPr>
          <w:rFonts w:ascii="Arial" w:hAnsi="Arial" w:cs="Arial"/>
          <w:lang w:val="en-GB"/>
        </w:rPr>
      </w:pPr>
    </w:p>
    <w:p w:rsidR="006B4237" w:rsidRDefault="00063D4B"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Necessary amendments should be made to the Law on TIHEK</w:t>
      </w:r>
      <w:r w:rsidR="00EE18B1" w:rsidRPr="00817133">
        <w:rPr>
          <w:rFonts w:ascii="Arial" w:hAnsi="Arial" w:cs="Arial"/>
          <w:lang w:val="en-GB"/>
        </w:rPr>
        <w:t xml:space="preserve"> for the establishment </w:t>
      </w:r>
      <w:r w:rsidR="00865FBC" w:rsidRPr="00817133">
        <w:rPr>
          <w:rFonts w:ascii="Arial" w:hAnsi="Arial" w:cs="Arial"/>
          <w:lang w:val="en-GB"/>
        </w:rPr>
        <w:t xml:space="preserve">of an independent national human rights </w:t>
      </w:r>
      <w:r w:rsidR="004F1B7F">
        <w:rPr>
          <w:rFonts w:ascii="Arial" w:hAnsi="Arial" w:cs="Arial"/>
          <w:lang w:val="en-GB"/>
        </w:rPr>
        <w:t>institution</w:t>
      </w:r>
      <w:r w:rsidR="00865FBC" w:rsidRPr="00817133">
        <w:rPr>
          <w:rFonts w:ascii="Arial" w:hAnsi="Arial" w:cs="Arial"/>
          <w:lang w:val="en-GB"/>
        </w:rPr>
        <w:t xml:space="preserve"> in line with Paris Principles</w:t>
      </w:r>
      <w:r w:rsidR="004F1B7F">
        <w:rPr>
          <w:rFonts w:ascii="Arial" w:hAnsi="Arial" w:cs="Arial"/>
          <w:lang w:val="en-GB"/>
        </w:rPr>
        <w:t>.</w:t>
      </w:r>
    </w:p>
    <w:p w:rsidR="009B1543" w:rsidRPr="009B1543" w:rsidRDefault="009B1543" w:rsidP="00887ECA">
      <w:pPr>
        <w:pStyle w:val="ListeParagraf"/>
        <w:spacing w:line="276" w:lineRule="auto"/>
        <w:jc w:val="both"/>
        <w:rPr>
          <w:rFonts w:ascii="Arial" w:hAnsi="Arial" w:cs="Arial"/>
          <w:lang w:val="en-GB"/>
        </w:rPr>
      </w:pPr>
    </w:p>
    <w:p w:rsidR="00A3023A" w:rsidRDefault="00A3023A"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Closed institutions</w:t>
      </w:r>
      <w:r w:rsidR="00510543" w:rsidRPr="00817133">
        <w:rPr>
          <w:rFonts w:ascii="Arial" w:hAnsi="Arial" w:cs="Arial"/>
          <w:lang w:val="en-GB"/>
        </w:rPr>
        <w:t xml:space="preserve"> (care homes, prisons </w:t>
      </w:r>
      <w:r w:rsidR="00D23C7E" w:rsidRPr="00817133">
        <w:rPr>
          <w:rFonts w:ascii="Arial" w:hAnsi="Arial" w:cs="Arial"/>
          <w:lang w:val="en-GB"/>
        </w:rPr>
        <w:t>etc.</w:t>
      </w:r>
      <w:r w:rsidR="00510543" w:rsidRPr="00817133">
        <w:rPr>
          <w:rFonts w:ascii="Arial" w:hAnsi="Arial" w:cs="Arial"/>
          <w:lang w:val="en-GB"/>
        </w:rPr>
        <w:t>)</w:t>
      </w:r>
      <w:r w:rsidRPr="00817133">
        <w:rPr>
          <w:rFonts w:ascii="Arial" w:hAnsi="Arial" w:cs="Arial"/>
          <w:lang w:val="en-GB"/>
        </w:rPr>
        <w:t xml:space="preserve"> are not available for </w:t>
      </w:r>
      <w:r w:rsidR="00510543" w:rsidRPr="00817133">
        <w:rPr>
          <w:rFonts w:ascii="Arial" w:hAnsi="Arial" w:cs="Arial"/>
          <w:lang w:val="en-GB"/>
        </w:rPr>
        <w:t xml:space="preserve">independent monitoring. </w:t>
      </w:r>
      <w:r w:rsidR="00B60F4B" w:rsidRPr="00817133">
        <w:rPr>
          <w:rFonts w:ascii="Arial" w:hAnsi="Arial" w:cs="Arial"/>
          <w:lang w:val="en-GB"/>
        </w:rPr>
        <w:t xml:space="preserve">Therefore, </w:t>
      </w:r>
      <w:r w:rsidR="00322510" w:rsidRPr="00817133">
        <w:rPr>
          <w:rFonts w:ascii="Arial" w:hAnsi="Arial" w:cs="Arial"/>
          <w:lang w:val="en-GB"/>
        </w:rPr>
        <w:t xml:space="preserve">no information is available with regards to </w:t>
      </w:r>
      <w:r w:rsidR="00A44416">
        <w:rPr>
          <w:rFonts w:ascii="Arial" w:hAnsi="Arial" w:cs="Arial"/>
          <w:lang w:val="en-GB"/>
        </w:rPr>
        <w:t xml:space="preserve">cases of </w:t>
      </w:r>
      <w:r w:rsidR="00A80127" w:rsidRPr="00817133">
        <w:rPr>
          <w:rFonts w:ascii="Arial" w:hAnsi="Arial" w:cs="Arial"/>
          <w:lang w:val="en-GB"/>
        </w:rPr>
        <w:t xml:space="preserve">ill treatment or discrimination </w:t>
      </w:r>
      <w:r w:rsidR="00A44416">
        <w:rPr>
          <w:rFonts w:ascii="Arial" w:hAnsi="Arial" w:cs="Arial"/>
          <w:lang w:val="en-GB"/>
        </w:rPr>
        <w:t>in these spaces</w:t>
      </w:r>
      <w:r w:rsidR="00A80127" w:rsidRPr="00817133">
        <w:rPr>
          <w:rFonts w:ascii="Arial" w:hAnsi="Arial" w:cs="Arial"/>
          <w:lang w:val="en-GB"/>
        </w:rPr>
        <w:t xml:space="preserve">, especially where the public officials working in these institutions are the perpetrators. All closed institutions where persons with disabilities reside should be opened to independent monitoring. </w:t>
      </w:r>
    </w:p>
    <w:p w:rsidR="009B1543" w:rsidRPr="009B1543" w:rsidRDefault="009B1543" w:rsidP="00887ECA">
      <w:pPr>
        <w:pStyle w:val="ListeParagraf"/>
        <w:spacing w:line="276" w:lineRule="auto"/>
        <w:jc w:val="both"/>
        <w:rPr>
          <w:rFonts w:ascii="Arial" w:hAnsi="Arial" w:cs="Arial"/>
          <w:lang w:val="en-GB"/>
        </w:rPr>
      </w:pPr>
    </w:p>
    <w:p w:rsidR="00C020EF" w:rsidRDefault="003462A7"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For the collection of disaggregated data per the </w:t>
      </w:r>
      <w:r w:rsidR="00C973F4" w:rsidRPr="00817133">
        <w:rPr>
          <w:rFonts w:ascii="Arial" w:hAnsi="Arial" w:cs="Arial"/>
          <w:lang w:val="en-GB"/>
        </w:rPr>
        <w:t>obligations under the CRPD,</w:t>
      </w:r>
      <w:r w:rsidR="001E303D" w:rsidRPr="00817133">
        <w:rPr>
          <w:rFonts w:ascii="Arial" w:hAnsi="Arial" w:cs="Arial"/>
          <w:lang w:val="en-GB"/>
        </w:rPr>
        <w:t xml:space="preserve"> </w:t>
      </w:r>
      <w:r w:rsidR="008515D0" w:rsidRPr="00817133">
        <w:rPr>
          <w:rFonts w:ascii="Arial" w:hAnsi="Arial" w:cs="Arial"/>
          <w:lang w:val="en-GB"/>
        </w:rPr>
        <w:t xml:space="preserve">up-to-date, inclusive and </w:t>
      </w:r>
      <w:r w:rsidR="00DD6348" w:rsidRPr="00817133">
        <w:rPr>
          <w:rFonts w:ascii="Arial" w:hAnsi="Arial" w:cs="Arial"/>
          <w:lang w:val="en-GB"/>
        </w:rPr>
        <w:t>disaggregated</w:t>
      </w:r>
      <w:r w:rsidR="008515D0" w:rsidRPr="00817133">
        <w:rPr>
          <w:rFonts w:ascii="Arial" w:hAnsi="Arial" w:cs="Arial"/>
          <w:lang w:val="en-GB"/>
        </w:rPr>
        <w:t xml:space="preserve"> </w:t>
      </w:r>
      <w:r w:rsidR="001E303D" w:rsidRPr="00817133">
        <w:rPr>
          <w:rFonts w:ascii="Arial" w:hAnsi="Arial" w:cs="Arial"/>
          <w:lang w:val="en-GB"/>
        </w:rPr>
        <w:t>data should be collected through a methodology in line with the principle of protection of personal data</w:t>
      </w:r>
      <w:r w:rsidR="00F84FCC" w:rsidRPr="00817133">
        <w:rPr>
          <w:rFonts w:ascii="Arial" w:hAnsi="Arial" w:cs="Arial"/>
          <w:lang w:val="en-GB"/>
        </w:rPr>
        <w:t xml:space="preserve"> regarding persons with disabilities</w:t>
      </w:r>
      <w:r w:rsidR="003E75DB">
        <w:rPr>
          <w:rFonts w:ascii="Arial" w:hAnsi="Arial" w:cs="Arial"/>
          <w:lang w:val="en-GB"/>
        </w:rPr>
        <w:t>.</w:t>
      </w:r>
      <w:r w:rsidR="00F84FCC" w:rsidRPr="00817133">
        <w:rPr>
          <w:rFonts w:ascii="Arial" w:hAnsi="Arial" w:cs="Arial"/>
          <w:lang w:val="en-GB"/>
        </w:rPr>
        <w:t xml:space="preserve"> </w:t>
      </w:r>
      <w:r w:rsidR="003E75DB">
        <w:rPr>
          <w:rFonts w:ascii="Arial" w:hAnsi="Arial" w:cs="Arial"/>
          <w:lang w:val="en-GB"/>
        </w:rPr>
        <w:t>T</w:t>
      </w:r>
      <w:r w:rsidR="006A49EC" w:rsidRPr="00817133">
        <w:rPr>
          <w:rFonts w:ascii="Arial" w:hAnsi="Arial" w:cs="Arial"/>
          <w:lang w:val="en-GB"/>
        </w:rPr>
        <w:t>his data should be shared with the public i</w:t>
      </w:r>
      <w:r w:rsidR="00C020EF" w:rsidRPr="00817133">
        <w:rPr>
          <w:rFonts w:ascii="Arial" w:hAnsi="Arial" w:cs="Arial"/>
          <w:lang w:val="en-GB"/>
        </w:rPr>
        <w:t>n a transparent matter, and persons with disabilities, DPOs and CSOs should be included in the design of data collection as well as the collection process itself.</w:t>
      </w:r>
    </w:p>
    <w:p w:rsidR="009B1543" w:rsidRPr="009B1543" w:rsidRDefault="009B1543" w:rsidP="00887ECA">
      <w:pPr>
        <w:pStyle w:val="ListeParagraf"/>
        <w:spacing w:line="276" w:lineRule="auto"/>
        <w:jc w:val="both"/>
        <w:rPr>
          <w:rFonts w:ascii="Arial" w:hAnsi="Arial" w:cs="Arial"/>
          <w:lang w:val="en-GB"/>
        </w:rPr>
      </w:pPr>
    </w:p>
    <w:p w:rsidR="003E3378" w:rsidRDefault="00C020EF"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 </w:t>
      </w:r>
      <w:r w:rsidR="003246FB" w:rsidRPr="00817133">
        <w:rPr>
          <w:rFonts w:ascii="Arial" w:hAnsi="Arial" w:cs="Arial"/>
          <w:lang w:val="en-GB"/>
        </w:rPr>
        <w:t xml:space="preserve">A plan on access to justice should be developed with a time frame, benchmarks and budget for </w:t>
      </w:r>
      <w:r w:rsidR="009E1605" w:rsidRPr="00817133">
        <w:rPr>
          <w:rFonts w:ascii="Arial" w:hAnsi="Arial" w:cs="Arial"/>
          <w:lang w:val="en-GB"/>
        </w:rPr>
        <w:t xml:space="preserve">the implementation of obligations on access to justice in judicial proceedings (including investigation stage), the plan should be shared with the public and </w:t>
      </w:r>
      <w:r w:rsidR="0029000B" w:rsidRPr="00817133">
        <w:rPr>
          <w:rFonts w:ascii="Arial" w:hAnsi="Arial" w:cs="Arial"/>
          <w:lang w:val="en-GB"/>
        </w:rPr>
        <w:t xml:space="preserve">implemented with </w:t>
      </w:r>
      <w:r w:rsidR="00CE49BF" w:rsidRPr="00817133">
        <w:rPr>
          <w:rFonts w:ascii="Arial" w:hAnsi="Arial" w:cs="Arial"/>
          <w:lang w:val="en-GB"/>
        </w:rPr>
        <w:t>DPOs and CSOs.</w:t>
      </w:r>
    </w:p>
    <w:p w:rsidR="009B1543" w:rsidRPr="009B1543" w:rsidRDefault="009B1543" w:rsidP="00887ECA">
      <w:pPr>
        <w:pStyle w:val="ListeParagraf"/>
        <w:spacing w:line="276" w:lineRule="auto"/>
        <w:jc w:val="both"/>
        <w:rPr>
          <w:rFonts w:ascii="Arial" w:hAnsi="Arial" w:cs="Arial"/>
          <w:lang w:val="en-GB"/>
        </w:rPr>
      </w:pPr>
    </w:p>
    <w:p w:rsidR="009463BF" w:rsidRDefault="003F6415"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The quality and number of </w:t>
      </w:r>
      <w:r w:rsidR="003E3378" w:rsidRPr="00817133">
        <w:rPr>
          <w:rFonts w:ascii="Arial" w:hAnsi="Arial" w:cs="Arial"/>
          <w:lang w:val="en-GB"/>
        </w:rPr>
        <w:t xml:space="preserve">sign language interpreters working the courts should </w:t>
      </w:r>
      <w:r w:rsidRPr="00817133">
        <w:rPr>
          <w:rFonts w:ascii="Arial" w:hAnsi="Arial" w:cs="Arial"/>
          <w:lang w:val="en-GB"/>
        </w:rPr>
        <w:t xml:space="preserve">be improved, a standard should be established in terms of sign language interpreters and </w:t>
      </w:r>
      <w:r w:rsidR="00CB2680">
        <w:rPr>
          <w:rFonts w:ascii="Arial" w:hAnsi="Arial" w:cs="Arial"/>
          <w:lang w:val="en-GB"/>
        </w:rPr>
        <w:t xml:space="preserve">the availability of </w:t>
      </w:r>
      <w:r w:rsidR="004F7C01" w:rsidRPr="00817133">
        <w:rPr>
          <w:rFonts w:ascii="Arial" w:hAnsi="Arial" w:cs="Arial"/>
          <w:lang w:val="en-GB"/>
        </w:rPr>
        <w:t xml:space="preserve">such interpreters </w:t>
      </w:r>
      <w:r w:rsidR="00DC352D" w:rsidRPr="00817133">
        <w:rPr>
          <w:rFonts w:ascii="Arial" w:hAnsi="Arial" w:cs="Arial"/>
          <w:lang w:val="en-GB"/>
        </w:rPr>
        <w:t>in all judicial proceedings</w:t>
      </w:r>
      <w:r w:rsidR="00CB2680">
        <w:rPr>
          <w:rFonts w:ascii="Arial" w:hAnsi="Arial" w:cs="Arial"/>
          <w:lang w:val="en-GB"/>
        </w:rPr>
        <w:t xml:space="preserve"> should be ensured.</w:t>
      </w:r>
    </w:p>
    <w:p w:rsidR="009B1543" w:rsidRPr="009B1543" w:rsidRDefault="009B1543" w:rsidP="00887ECA">
      <w:pPr>
        <w:pStyle w:val="ListeParagraf"/>
        <w:spacing w:line="276" w:lineRule="auto"/>
        <w:jc w:val="both"/>
        <w:rPr>
          <w:rFonts w:ascii="Arial" w:hAnsi="Arial" w:cs="Arial"/>
          <w:lang w:val="en-GB"/>
        </w:rPr>
      </w:pPr>
    </w:p>
    <w:p w:rsidR="003246FB" w:rsidRPr="00817133" w:rsidRDefault="00543633" w:rsidP="00887ECA">
      <w:pPr>
        <w:pStyle w:val="ListeParagraf"/>
        <w:numPr>
          <w:ilvl w:val="0"/>
          <w:numId w:val="6"/>
        </w:numPr>
        <w:spacing w:line="276" w:lineRule="auto"/>
        <w:jc w:val="both"/>
        <w:rPr>
          <w:rFonts w:ascii="Arial" w:hAnsi="Arial" w:cs="Arial"/>
          <w:lang w:val="en-GB"/>
        </w:rPr>
      </w:pPr>
      <w:r w:rsidRPr="00817133">
        <w:rPr>
          <w:rFonts w:ascii="Arial" w:hAnsi="Arial" w:cs="Arial"/>
          <w:lang w:val="en-GB"/>
        </w:rPr>
        <w:t xml:space="preserve">The guardianship regime per Art. 405 of the Civil Code limits the legal capacity of persons with </w:t>
      </w:r>
      <w:r w:rsidR="002A3BE8" w:rsidRPr="00817133">
        <w:rPr>
          <w:rFonts w:ascii="Arial" w:hAnsi="Arial" w:cs="Arial"/>
          <w:lang w:val="en-GB"/>
        </w:rPr>
        <w:t xml:space="preserve">intellectual and </w:t>
      </w:r>
      <w:r w:rsidR="000C4E9E" w:rsidRPr="00817133">
        <w:rPr>
          <w:rFonts w:ascii="Arial" w:hAnsi="Arial" w:cs="Arial"/>
          <w:lang w:val="en-GB"/>
        </w:rPr>
        <w:t>psycho</w:t>
      </w:r>
      <w:r w:rsidR="002A3BE8" w:rsidRPr="00817133">
        <w:rPr>
          <w:rFonts w:ascii="Arial" w:hAnsi="Arial" w:cs="Arial"/>
          <w:lang w:val="en-GB"/>
        </w:rPr>
        <w:t xml:space="preserve">-social disabilities. </w:t>
      </w:r>
      <w:r w:rsidR="001C3414" w:rsidRPr="00817133">
        <w:rPr>
          <w:rFonts w:ascii="Arial" w:hAnsi="Arial" w:cs="Arial"/>
          <w:lang w:val="en-GB"/>
        </w:rPr>
        <w:t xml:space="preserve">Relevant legislation </w:t>
      </w:r>
      <w:r w:rsidR="009A2E6D" w:rsidRPr="00817133">
        <w:rPr>
          <w:rFonts w:ascii="Arial" w:hAnsi="Arial" w:cs="Arial"/>
          <w:lang w:val="en-GB"/>
        </w:rPr>
        <w:t xml:space="preserve">should be amended to abolish </w:t>
      </w:r>
      <w:r w:rsidR="001560DD" w:rsidRPr="00817133">
        <w:rPr>
          <w:rFonts w:ascii="Arial" w:hAnsi="Arial" w:cs="Arial"/>
          <w:lang w:val="en-GB"/>
        </w:rPr>
        <w:t xml:space="preserve">the guardianship regime and the </w:t>
      </w:r>
      <w:r w:rsidR="00595E2B" w:rsidRPr="00817133">
        <w:rPr>
          <w:rFonts w:ascii="Arial" w:hAnsi="Arial" w:cs="Arial"/>
          <w:lang w:val="en-GB"/>
        </w:rPr>
        <w:t xml:space="preserve">limitation of </w:t>
      </w:r>
      <w:r w:rsidR="0059276A" w:rsidRPr="00817133">
        <w:rPr>
          <w:rFonts w:ascii="Arial" w:hAnsi="Arial" w:cs="Arial"/>
          <w:lang w:val="en-GB"/>
        </w:rPr>
        <w:t xml:space="preserve">legal capacity for persons with disabilities, </w:t>
      </w:r>
      <w:r w:rsidR="008F1C07" w:rsidRPr="00817133">
        <w:rPr>
          <w:rFonts w:ascii="Arial" w:hAnsi="Arial" w:cs="Arial"/>
          <w:lang w:val="en-GB"/>
        </w:rPr>
        <w:t xml:space="preserve">legislation should be amended to </w:t>
      </w:r>
      <w:r w:rsidR="002634E1" w:rsidRPr="00817133">
        <w:rPr>
          <w:rFonts w:ascii="Arial" w:hAnsi="Arial" w:cs="Arial"/>
          <w:lang w:val="en-GB"/>
        </w:rPr>
        <w:t xml:space="preserve">replace this regime with personalised support on decision-making </w:t>
      </w:r>
      <w:r w:rsidR="00DD6348" w:rsidRPr="00817133">
        <w:rPr>
          <w:rFonts w:ascii="Arial" w:hAnsi="Arial" w:cs="Arial"/>
          <w:lang w:val="en-GB"/>
        </w:rPr>
        <w:t>mechanisms which</w:t>
      </w:r>
      <w:r w:rsidR="001F5804" w:rsidRPr="00817133">
        <w:rPr>
          <w:rFonts w:ascii="Arial" w:hAnsi="Arial" w:cs="Arial"/>
          <w:lang w:val="en-GB"/>
        </w:rPr>
        <w:t xml:space="preserve"> will enable persons with disabilities to utilise their legal capacity.</w:t>
      </w:r>
    </w:p>
    <w:p w:rsidR="00A8412F" w:rsidRPr="00817133" w:rsidRDefault="00A8412F" w:rsidP="00887ECA">
      <w:pPr>
        <w:spacing w:line="276" w:lineRule="auto"/>
        <w:jc w:val="both"/>
        <w:rPr>
          <w:rFonts w:ascii="Arial" w:hAnsi="Arial" w:cs="Arial"/>
          <w:b/>
          <w:lang w:val="en-GB"/>
        </w:rPr>
      </w:pPr>
      <w:r w:rsidRPr="00817133">
        <w:rPr>
          <w:rFonts w:ascii="Arial" w:hAnsi="Arial" w:cs="Arial"/>
          <w:b/>
          <w:lang w:val="en-GB"/>
        </w:rPr>
        <w:br w:type="page"/>
      </w:r>
    </w:p>
    <w:p w:rsidR="00F51545" w:rsidRDefault="00F51545" w:rsidP="00887ECA">
      <w:pPr>
        <w:pStyle w:val="Balk1"/>
        <w:spacing w:line="276" w:lineRule="auto"/>
        <w:jc w:val="both"/>
        <w:rPr>
          <w:b/>
          <w:sz w:val="28"/>
          <w:lang w:val="en-GB"/>
        </w:rPr>
      </w:pPr>
      <w:r w:rsidRPr="00B56EFE">
        <w:rPr>
          <w:b/>
          <w:sz w:val="28"/>
          <w:lang w:val="en-GB"/>
        </w:rPr>
        <w:lastRenderedPageBreak/>
        <w:t>Freedom of Assembly</w:t>
      </w:r>
    </w:p>
    <w:p w:rsidR="009B1543" w:rsidRPr="009B1543" w:rsidRDefault="009B1543" w:rsidP="00887ECA">
      <w:pPr>
        <w:spacing w:line="276" w:lineRule="auto"/>
        <w:jc w:val="both"/>
        <w:rPr>
          <w:lang w:val="en-GB"/>
        </w:rPr>
      </w:pPr>
    </w:p>
    <w:p w:rsidR="00743606" w:rsidRDefault="00F51545" w:rsidP="00887ECA">
      <w:pPr>
        <w:pStyle w:val="ListeParagraf"/>
        <w:numPr>
          <w:ilvl w:val="0"/>
          <w:numId w:val="6"/>
        </w:numPr>
        <w:spacing w:after="0" w:line="276" w:lineRule="auto"/>
        <w:jc w:val="both"/>
        <w:rPr>
          <w:rFonts w:ascii="Arial" w:hAnsi="Arial" w:cs="Arial"/>
          <w:lang w:val="en-GB"/>
        </w:rPr>
      </w:pPr>
      <w:r w:rsidRPr="00743606">
        <w:rPr>
          <w:rFonts w:ascii="Arial" w:hAnsi="Arial" w:cs="Arial"/>
          <w:lang w:val="en-GB"/>
        </w:rPr>
        <w:t>Article 34 of the Constitution of Turkey</w:t>
      </w:r>
      <w:r w:rsidR="00703516" w:rsidRPr="00817133">
        <w:rPr>
          <w:rStyle w:val="DipnotBavurusu"/>
          <w:rFonts w:ascii="Arial" w:hAnsi="Arial" w:cs="Arial"/>
          <w:lang w:val="en-GB"/>
        </w:rPr>
        <w:footnoteReference w:id="11"/>
      </w:r>
      <w:r w:rsidRPr="00743606">
        <w:rPr>
          <w:rFonts w:ascii="Arial" w:hAnsi="Arial" w:cs="Arial"/>
          <w:lang w:val="en-GB"/>
        </w:rPr>
        <w:t xml:space="preserve"> </w:t>
      </w:r>
      <w:r w:rsidR="00B24AA5" w:rsidRPr="00743606">
        <w:rPr>
          <w:rFonts w:ascii="Arial" w:hAnsi="Arial" w:cs="Arial"/>
          <w:lang w:val="en-GB"/>
        </w:rPr>
        <w:t xml:space="preserve">which regulates </w:t>
      </w:r>
      <w:r w:rsidR="00C87963" w:rsidRPr="00743606">
        <w:rPr>
          <w:rFonts w:ascii="Arial" w:hAnsi="Arial" w:cs="Arial"/>
          <w:lang w:val="en-GB"/>
        </w:rPr>
        <w:t>freedom of assembly</w:t>
      </w:r>
      <w:r w:rsidR="00594408" w:rsidRPr="00743606">
        <w:rPr>
          <w:rFonts w:ascii="Arial" w:hAnsi="Arial" w:cs="Arial"/>
          <w:lang w:val="en-GB"/>
        </w:rPr>
        <w:t>,</w:t>
      </w:r>
      <w:r w:rsidR="00C87963" w:rsidRPr="00743606">
        <w:rPr>
          <w:rFonts w:ascii="Arial" w:hAnsi="Arial" w:cs="Arial"/>
          <w:lang w:val="en-GB"/>
        </w:rPr>
        <w:t xml:space="preserve"> is in line with international standards. </w:t>
      </w:r>
      <w:r w:rsidR="00EC41F2" w:rsidRPr="00743606">
        <w:rPr>
          <w:rFonts w:ascii="Arial" w:hAnsi="Arial" w:cs="Arial"/>
          <w:lang w:val="en-GB"/>
        </w:rPr>
        <w:t>Law No</w:t>
      </w:r>
      <w:r w:rsidR="00887ECA">
        <w:rPr>
          <w:rFonts w:ascii="Arial" w:hAnsi="Arial" w:cs="Arial"/>
          <w:lang w:val="en-GB"/>
        </w:rPr>
        <w:t>.</w:t>
      </w:r>
      <w:r w:rsidR="00EC41F2" w:rsidRPr="00743606">
        <w:rPr>
          <w:rFonts w:ascii="Arial" w:hAnsi="Arial" w:cs="Arial"/>
          <w:lang w:val="en-GB"/>
        </w:rPr>
        <w:t xml:space="preserve"> 2911</w:t>
      </w:r>
      <w:r w:rsidR="00C07888" w:rsidRPr="00817133">
        <w:rPr>
          <w:rStyle w:val="DipnotBavurusu"/>
          <w:rFonts w:ascii="Arial" w:hAnsi="Arial" w:cs="Arial"/>
          <w:lang w:val="en-GB"/>
        </w:rPr>
        <w:footnoteReference w:id="12"/>
      </w:r>
      <w:r w:rsidR="00EC41F2" w:rsidRPr="00743606">
        <w:rPr>
          <w:rFonts w:ascii="Arial" w:hAnsi="Arial" w:cs="Arial"/>
          <w:lang w:val="en-GB"/>
        </w:rPr>
        <w:t xml:space="preserve"> is the main legislation which regulates freedom of assembly, however, many other </w:t>
      </w:r>
      <w:proofErr w:type="gramStart"/>
      <w:r w:rsidR="00EC41F2" w:rsidRPr="00743606">
        <w:rPr>
          <w:rFonts w:ascii="Arial" w:hAnsi="Arial" w:cs="Arial"/>
          <w:lang w:val="en-GB"/>
        </w:rPr>
        <w:t>legislation</w:t>
      </w:r>
      <w:proofErr w:type="gramEnd"/>
      <w:r w:rsidR="00EC41F2" w:rsidRPr="00743606">
        <w:rPr>
          <w:rFonts w:ascii="Arial" w:hAnsi="Arial" w:cs="Arial"/>
          <w:lang w:val="en-GB"/>
        </w:rPr>
        <w:t xml:space="preserve"> affords numerous powers to public</w:t>
      </w:r>
      <w:r w:rsidR="00431373" w:rsidRPr="00743606">
        <w:rPr>
          <w:rFonts w:ascii="Arial" w:hAnsi="Arial" w:cs="Arial"/>
          <w:lang w:val="en-GB"/>
        </w:rPr>
        <w:t xml:space="preserve"> and administrative</w:t>
      </w:r>
      <w:r w:rsidR="00EC41F2" w:rsidRPr="00743606">
        <w:rPr>
          <w:rFonts w:ascii="Arial" w:hAnsi="Arial" w:cs="Arial"/>
          <w:lang w:val="en-GB"/>
        </w:rPr>
        <w:t xml:space="preserve"> authorities </w:t>
      </w:r>
      <w:r w:rsidR="0064071F" w:rsidRPr="00743606">
        <w:rPr>
          <w:rFonts w:ascii="Arial" w:hAnsi="Arial" w:cs="Arial"/>
          <w:lang w:val="en-GB"/>
        </w:rPr>
        <w:t>for restricting freedom of assembly.</w:t>
      </w:r>
      <w:r w:rsidR="007C0C29" w:rsidRPr="00817133">
        <w:rPr>
          <w:rStyle w:val="DipnotBavurusu"/>
          <w:rFonts w:ascii="Arial" w:hAnsi="Arial" w:cs="Arial"/>
          <w:lang w:val="en-GB"/>
        </w:rPr>
        <w:footnoteReference w:id="13"/>
      </w:r>
      <w:r w:rsidR="0064071F" w:rsidRPr="00743606">
        <w:rPr>
          <w:rFonts w:ascii="Arial" w:hAnsi="Arial" w:cs="Arial"/>
          <w:lang w:val="en-GB"/>
        </w:rPr>
        <w:t xml:space="preserve"> </w:t>
      </w:r>
    </w:p>
    <w:p w:rsidR="009B1543" w:rsidRDefault="009B1543" w:rsidP="00887ECA">
      <w:pPr>
        <w:pStyle w:val="ListeParagraf"/>
        <w:spacing w:after="0" w:line="276" w:lineRule="auto"/>
        <w:jc w:val="both"/>
        <w:rPr>
          <w:rFonts w:ascii="Arial" w:hAnsi="Arial" w:cs="Arial"/>
          <w:lang w:val="en-GB"/>
        </w:rPr>
      </w:pPr>
    </w:p>
    <w:p w:rsidR="00743606" w:rsidRDefault="00431373" w:rsidP="00887ECA">
      <w:pPr>
        <w:pStyle w:val="ListeParagraf"/>
        <w:numPr>
          <w:ilvl w:val="0"/>
          <w:numId w:val="6"/>
        </w:numPr>
        <w:spacing w:after="0" w:line="276" w:lineRule="auto"/>
        <w:jc w:val="both"/>
        <w:rPr>
          <w:rFonts w:ascii="Arial" w:hAnsi="Arial" w:cs="Arial"/>
          <w:lang w:val="en-GB"/>
        </w:rPr>
      </w:pPr>
      <w:r w:rsidRPr="00743606">
        <w:rPr>
          <w:rFonts w:ascii="Arial" w:hAnsi="Arial" w:cs="Arial"/>
          <w:lang w:val="en-GB"/>
        </w:rPr>
        <w:t xml:space="preserve">Specifically, the wide scope of the powers afforded to </w:t>
      </w:r>
      <w:r w:rsidR="009F0D0E" w:rsidRPr="00743606">
        <w:rPr>
          <w:rFonts w:ascii="Arial" w:hAnsi="Arial" w:cs="Arial"/>
          <w:lang w:val="en-GB"/>
        </w:rPr>
        <w:t>administrative authorities through Laws No. 5442</w:t>
      </w:r>
      <w:r w:rsidR="00A14AF3" w:rsidRPr="00817133">
        <w:rPr>
          <w:rStyle w:val="DipnotBavurusu"/>
          <w:rFonts w:ascii="Arial" w:hAnsi="Arial" w:cs="Arial"/>
          <w:lang w:val="en-GB"/>
        </w:rPr>
        <w:footnoteReference w:id="14"/>
      </w:r>
      <w:r w:rsidR="009F0D0E" w:rsidRPr="00743606">
        <w:rPr>
          <w:rFonts w:ascii="Arial" w:hAnsi="Arial" w:cs="Arial"/>
          <w:lang w:val="en-GB"/>
        </w:rPr>
        <w:t xml:space="preserve"> and 2559</w:t>
      </w:r>
      <w:r w:rsidR="00A14AF3" w:rsidRPr="00817133">
        <w:rPr>
          <w:rStyle w:val="DipnotBavurusu"/>
          <w:rFonts w:ascii="Arial" w:hAnsi="Arial" w:cs="Arial"/>
          <w:lang w:val="en-GB"/>
        </w:rPr>
        <w:footnoteReference w:id="15"/>
      </w:r>
      <w:r w:rsidR="009F0D0E" w:rsidRPr="00743606">
        <w:rPr>
          <w:rFonts w:ascii="Arial" w:hAnsi="Arial" w:cs="Arial"/>
          <w:lang w:val="en-GB"/>
        </w:rPr>
        <w:t xml:space="preserve"> are used by governorate</w:t>
      </w:r>
      <w:r w:rsidR="00594408" w:rsidRPr="00743606">
        <w:rPr>
          <w:rFonts w:ascii="Arial" w:hAnsi="Arial" w:cs="Arial"/>
          <w:lang w:val="en-GB"/>
        </w:rPr>
        <w:t>s and</w:t>
      </w:r>
      <w:r w:rsidR="009F0D0E" w:rsidRPr="00743606">
        <w:rPr>
          <w:rFonts w:ascii="Arial" w:hAnsi="Arial" w:cs="Arial"/>
          <w:lang w:val="en-GB"/>
        </w:rPr>
        <w:t xml:space="preserve"> district-governorates to restrict assemblies and demonstrations. </w:t>
      </w:r>
      <w:r w:rsidR="002F50AE" w:rsidRPr="00743606">
        <w:rPr>
          <w:rFonts w:ascii="Arial" w:hAnsi="Arial" w:cs="Arial"/>
          <w:lang w:val="en-GB"/>
        </w:rPr>
        <w:t xml:space="preserve">These restrictions come in many forms such as: restriction of assemblies and demonstrations for a period of time or indefinitely, in </w:t>
      </w:r>
      <w:r w:rsidR="00887ECA">
        <w:rPr>
          <w:rFonts w:ascii="Arial" w:hAnsi="Arial" w:cs="Arial"/>
          <w:lang w:val="en-GB"/>
        </w:rPr>
        <w:t xml:space="preserve">an </w:t>
      </w:r>
      <w:r w:rsidR="002F50AE" w:rsidRPr="00743606">
        <w:rPr>
          <w:rFonts w:ascii="Arial" w:hAnsi="Arial" w:cs="Arial"/>
          <w:lang w:val="en-GB"/>
        </w:rPr>
        <w:t xml:space="preserve">entire province or </w:t>
      </w:r>
      <w:r w:rsidR="0068714F" w:rsidRPr="00743606">
        <w:rPr>
          <w:rFonts w:ascii="Arial" w:hAnsi="Arial" w:cs="Arial"/>
          <w:lang w:val="en-GB"/>
        </w:rPr>
        <w:t xml:space="preserve">certain district(s) or even specific </w:t>
      </w:r>
      <w:r w:rsidR="007A7D2A" w:rsidRPr="00743606">
        <w:rPr>
          <w:rFonts w:ascii="Arial" w:hAnsi="Arial" w:cs="Arial"/>
          <w:lang w:val="en-GB"/>
        </w:rPr>
        <w:t>bans</w:t>
      </w:r>
      <w:r w:rsidR="0068714F" w:rsidRPr="00743606">
        <w:rPr>
          <w:rFonts w:ascii="Arial" w:hAnsi="Arial" w:cs="Arial"/>
          <w:lang w:val="en-GB"/>
        </w:rPr>
        <w:t xml:space="preserve"> </w:t>
      </w:r>
      <w:r w:rsidR="00CB1076">
        <w:rPr>
          <w:rFonts w:ascii="Arial" w:hAnsi="Arial" w:cs="Arial"/>
          <w:lang w:val="en-GB"/>
        </w:rPr>
        <w:t xml:space="preserve">(i.e. </w:t>
      </w:r>
      <w:r w:rsidR="007A7D2A" w:rsidRPr="00743606">
        <w:rPr>
          <w:rFonts w:ascii="Arial" w:hAnsi="Arial" w:cs="Arial"/>
          <w:lang w:val="en-GB"/>
        </w:rPr>
        <w:t xml:space="preserve">outright </w:t>
      </w:r>
      <w:r w:rsidR="0068714F" w:rsidRPr="00743606">
        <w:rPr>
          <w:rFonts w:ascii="Arial" w:hAnsi="Arial" w:cs="Arial"/>
          <w:lang w:val="en-GB"/>
        </w:rPr>
        <w:t>banning 1</w:t>
      </w:r>
      <w:r w:rsidR="0068714F" w:rsidRPr="00743606">
        <w:rPr>
          <w:rFonts w:ascii="Arial" w:hAnsi="Arial" w:cs="Arial"/>
          <w:vertAlign w:val="superscript"/>
          <w:lang w:val="en-GB"/>
        </w:rPr>
        <w:t>st</w:t>
      </w:r>
      <w:r w:rsidR="0068714F" w:rsidRPr="00743606">
        <w:rPr>
          <w:rFonts w:ascii="Arial" w:hAnsi="Arial" w:cs="Arial"/>
          <w:lang w:val="en-GB"/>
        </w:rPr>
        <w:t xml:space="preserve"> May celebration demonstrations</w:t>
      </w:r>
      <w:r w:rsidR="00CB1076">
        <w:rPr>
          <w:rFonts w:ascii="Arial" w:hAnsi="Arial" w:cs="Arial"/>
          <w:lang w:val="en-GB"/>
        </w:rPr>
        <w:t>)</w:t>
      </w:r>
      <w:r w:rsidR="0068714F" w:rsidRPr="00743606">
        <w:rPr>
          <w:rFonts w:ascii="Arial" w:hAnsi="Arial" w:cs="Arial"/>
          <w:lang w:val="en-GB"/>
        </w:rPr>
        <w:t xml:space="preserve">. </w:t>
      </w:r>
      <w:r w:rsidR="00100A99" w:rsidRPr="00743606">
        <w:rPr>
          <w:rFonts w:ascii="Arial" w:hAnsi="Arial" w:cs="Arial"/>
          <w:lang w:val="en-GB"/>
        </w:rPr>
        <w:t xml:space="preserve">The data collected shows that, </w:t>
      </w:r>
      <w:r w:rsidR="007A7D2A" w:rsidRPr="00743606">
        <w:rPr>
          <w:rFonts w:ascii="Arial" w:hAnsi="Arial" w:cs="Arial"/>
          <w:lang w:val="en-GB"/>
        </w:rPr>
        <w:t xml:space="preserve">governorates and district-governorates, in 2016 have issued a total of 101 restriction decisions in 37 provinces whereby 52 of them are specific and 49 of them are general in scope. </w:t>
      </w:r>
      <w:r w:rsidR="001244E2" w:rsidRPr="00743606">
        <w:rPr>
          <w:rFonts w:ascii="Arial" w:hAnsi="Arial" w:cs="Arial"/>
          <w:lang w:val="en-GB"/>
        </w:rPr>
        <w:t>In 2017, ther</w:t>
      </w:r>
      <w:r w:rsidR="00595AA5" w:rsidRPr="00743606">
        <w:rPr>
          <w:rFonts w:ascii="Arial" w:hAnsi="Arial" w:cs="Arial"/>
          <w:lang w:val="en-GB"/>
        </w:rPr>
        <w:t xml:space="preserve">e were a total of 120 decisions issued in 32 provinces, whereby 47 of them are specific and 73 of them </w:t>
      </w:r>
      <w:r w:rsidR="003C668F" w:rsidRPr="00743606">
        <w:rPr>
          <w:rFonts w:ascii="Arial" w:hAnsi="Arial" w:cs="Arial"/>
          <w:lang w:val="en-GB"/>
        </w:rPr>
        <w:t xml:space="preserve">were general. Finally, in 2018 there were a total of </w:t>
      </w:r>
      <w:r w:rsidR="00D35DFB" w:rsidRPr="00743606">
        <w:rPr>
          <w:rFonts w:ascii="Arial" w:hAnsi="Arial" w:cs="Arial"/>
          <w:lang w:val="en-GB"/>
        </w:rPr>
        <w:t xml:space="preserve">127 decisions in 38 provinces, whereby </w:t>
      </w:r>
      <w:r w:rsidR="000B6AB2" w:rsidRPr="00743606">
        <w:rPr>
          <w:rFonts w:ascii="Arial" w:hAnsi="Arial" w:cs="Arial"/>
          <w:lang w:val="en-GB"/>
        </w:rPr>
        <w:t xml:space="preserve">63 of them specific and 64 of them were general in scope. These decisions to restrict and/or ban the enjoyment of freedom of assembly do not </w:t>
      </w:r>
      <w:r w:rsidR="00861929" w:rsidRPr="00743606">
        <w:rPr>
          <w:rFonts w:ascii="Arial" w:hAnsi="Arial" w:cs="Arial"/>
          <w:lang w:val="en-GB"/>
        </w:rPr>
        <w:t xml:space="preserve">have any basis in a court decision, and in the relevant legislation, there is no </w:t>
      </w:r>
      <w:r w:rsidR="009309DC" w:rsidRPr="00743606">
        <w:rPr>
          <w:rFonts w:ascii="Arial" w:hAnsi="Arial" w:cs="Arial"/>
          <w:lang w:val="en-GB"/>
        </w:rPr>
        <w:t xml:space="preserve">provision found to prevent the arbitrary use of these powers. </w:t>
      </w:r>
      <w:r w:rsidR="006D0BF1" w:rsidRPr="00743606">
        <w:rPr>
          <w:rFonts w:ascii="Arial" w:hAnsi="Arial" w:cs="Arial"/>
          <w:lang w:val="en-GB"/>
        </w:rPr>
        <w:t xml:space="preserve">For example, in Gaziantep province, </w:t>
      </w:r>
      <w:r w:rsidR="00897D06" w:rsidRPr="00743606">
        <w:rPr>
          <w:rFonts w:ascii="Arial" w:hAnsi="Arial" w:cs="Arial"/>
          <w:lang w:val="en-GB"/>
        </w:rPr>
        <w:t>within</w:t>
      </w:r>
      <w:r w:rsidR="006D0BF1" w:rsidRPr="00743606">
        <w:rPr>
          <w:rFonts w:ascii="Arial" w:hAnsi="Arial" w:cs="Arial"/>
          <w:lang w:val="en-GB"/>
        </w:rPr>
        <w:t xml:space="preserve"> the </w:t>
      </w:r>
      <w:r w:rsidR="00897D06" w:rsidRPr="00743606">
        <w:rPr>
          <w:rFonts w:ascii="Arial" w:hAnsi="Arial" w:cs="Arial"/>
          <w:lang w:val="en-GB"/>
        </w:rPr>
        <w:t>17-month</w:t>
      </w:r>
      <w:r w:rsidR="006D0BF1" w:rsidRPr="00743606">
        <w:rPr>
          <w:rFonts w:ascii="Arial" w:hAnsi="Arial" w:cs="Arial"/>
          <w:lang w:val="en-GB"/>
        </w:rPr>
        <w:t xml:space="preserve"> period between January 2017 – May 2018, </w:t>
      </w:r>
      <w:r w:rsidR="00897D06" w:rsidRPr="00743606">
        <w:rPr>
          <w:rFonts w:ascii="Arial" w:hAnsi="Arial" w:cs="Arial"/>
          <w:lang w:val="en-GB"/>
        </w:rPr>
        <w:t xml:space="preserve">there were only 45 days without </w:t>
      </w:r>
      <w:r w:rsidR="006D0BF1" w:rsidRPr="00743606">
        <w:rPr>
          <w:rFonts w:ascii="Arial" w:hAnsi="Arial" w:cs="Arial"/>
          <w:lang w:val="en-GB"/>
        </w:rPr>
        <w:t>a restriction on freedom of assembly.</w:t>
      </w:r>
      <w:r w:rsidR="00672288" w:rsidRPr="00817133">
        <w:rPr>
          <w:rStyle w:val="DipnotBavurusu"/>
          <w:rFonts w:ascii="Arial" w:hAnsi="Arial" w:cs="Arial"/>
          <w:lang w:val="en-GB"/>
        </w:rPr>
        <w:footnoteReference w:id="16"/>
      </w:r>
      <w:r w:rsidR="006D0BF1" w:rsidRPr="00743606">
        <w:rPr>
          <w:rFonts w:ascii="Arial" w:hAnsi="Arial" w:cs="Arial"/>
          <w:lang w:val="en-GB"/>
        </w:rPr>
        <w:t xml:space="preserve"> </w:t>
      </w:r>
    </w:p>
    <w:p w:rsidR="009B1543" w:rsidRDefault="009B1543" w:rsidP="00887ECA">
      <w:pPr>
        <w:pStyle w:val="ListeParagraf"/>
        <w:spacing w:after="0" w:line="276" w:lineRule="auto"/>
        <w:jc w:val="both"/>
        <w:rPr>
          <w:rFonts w:ascii="Arial" w:hAnsi="Arial" w:cs="Arial"/>
          <w:lang w:val="en-GB"/>
        </w:rPr>
      </w:pPr>
    </w:p>
    <w:p w:rsidR="00562D56" w:rsidRPr="00F54DD6" w:rsidRDefault="00051CCE"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In a</w:t>
      </w:r>
      <w:r w:rsidR="0036506C">
        <w:rPr>
          <w:rFonts w:ascii="Arial" w:hAnsi="Arial" w:cs="Arial"/>
          <w:lang w:val="en-GB"/>
        </w:rPr>
        <w:t>ddition</w:t>
      </w:r>
      <w:r w:rsidR="00743606">
        <w:rPr>
          <w:rFonts w:ascii="Arial" w:hAnsi="Arial" w:cs="Arial"/>
          <w:lang w:val="en-GB"/>
        </w:rPr>
        <w:t xml:space="preserve"> </w:t>
      </w:r>
      <w:r w:rsidR="00672288" w:rsidRPr="00743606">
        <w:rPr>
          <w:rFonts w:ascii="Arial" w:hAnsi="Arial" w:cs="Arial"/>
          <w:lang w:val="en-GB"/>
        </w:rPr>
        <w:t xml:space="preserve">to the </w:t>
      </w:r>
      <w:r w:rsidR="003C0A72" w:rsidRPr="00743606">
        <w:rPr>
          <w:rFonts w:ascii="Arial" w:hAnsi="Arial" w:cs="Arial"/>
          <w:lang w:val="en-GB"/>
        </w:rPr>
        <w:t>above-mentioned</w:t>
      </w:r>
      <w:r w:rsidR="00672288" w:rsidRPr="00743606">
        <w:rPr>
          <w:rFonts w:ascii="Arial" w:hAnsi="Arial" w:cs="Arial"/>
          <w:lang w:val="en-GB"/>
        </w:rPr>
        <w:t xml:space="preserve"> powers, </w:t>
      </w:r>
      <w:r w:rsidR="00407EE5" w:rsidRPr="00743606">
        <w:rPr>
          <w:rFonts w:ascii="Arial" w:hAnsi="Arial" w:cs="Arial"/>
          <w:lang w:val="en-GB"/>
        </w:rPr>
        <w:t xml:space="preserve">governors have been implementing the notification requirement which is </w:t>
      </w:r>
      <w:r w:rsidR="00AF2A88" w:rsidRPr="00743606">
        <w:rPr>
          <w:rFonts w:ascii="Arial" w:hAnsi="Arial" w:cs="Arial"/>
          <w:lang w:val="en-GB"/>
        </w:rPr>
        <w:t>set</w:t>
      </w:r>
      <w:r w:rsidR="00916F7A" w:rsidRPr="00743606">
        <w:rPr>
          <w:rFonts w:ascii="Arial" w:hAnsi="Arial" w:cs="Arial"/>
          <w:lang w:val="en-GB"/>
        </w:rPr>
        <w:t xml:space="preserve"> out in Law No. 2911, as a “mandatory permission requirement”. </w:t>
      </w:r>
      <w:r w:rsidR="009C7D4E" w:rsidRPr="00743606">
        <w:rPr>
          <w:rFonts w:ascii="Arial" w:hAnsi="Arial" w:cs="Arial"/>
          <w:lang w:val="en-GB"/>
        </w:rPr>
        <w:t>Security forces use this “mandatory permission requirement”</w:t>
      </w:r>
      <w:r w:rsidR="00035E82">
        <w:rPr>
          <w:rFonts w:ascii="Arial" w:hAnsi="Arial" w:cs="Arial"/>
          <w:lang w:val="en-GB"/>
        </w:rPr>
        <w:t>,</w:t>
      </w:r>
      <w:r w:rsidR="009C7D4E" w:rsidRPr="00743606">
        <w:rPr>
          <w:rFonts w:ascii="Arial" w:hAnsi="Arial" w:cs="Arial"/>
          <w:lang w:val="en-GB"/>
        </w:rPr>
        <w:t xml:space="preserve"> which is not found anywhere in the Constitution or the legislation</w:t>
      </w:r>
      <w:r w:rsidR="00035E82">
        <w:rPr>
          <w:rFonts w:ascii="Arial" w:hAnsi="Arial" w:cs="Arial"/>
          <w:lang w:val="en-GB"/>
        </w:rPr>
        <w:t>,</w:t>
      </w:r>
      <w:r w:rsidR="009C7D4E" w:rsidRPr="00743606">
        <w:rPr>
          <w:rFonts w:ascii="Arial" w:hAnsi="Arial" w:cs="Arial"/>
          <w:lang w:val="en-GB"/>
        </w:rPr>
        <w:t xml:space="preserve"> as a justification for interfering with peaceful assemblies and demonstrations. </w:t>
      </w:r>
      <w:r w:rsidR="00974499" w:rsidRPr="00743606">
        <w:rPr>
          <w:rFonts w:ascii="Arial" w:hAnsi="Arial" w:cs="Arial"/>
          <w:lang w:val="en-GB"/>
        </w:rPr>
        <w:t xml:space="preserve">Further, disproportionate use of force in interference with peaceful assemblies and demonstrations has been observed in almost all cases. </w:t>
      </w:r>
      <w:r w:rsidR="00FE5A20" w:rsidRPr="00743606">
        <w:rPr>
          <w:rFonts w:ascii="Arial" w:hAnsi="Arial" w:cs="Arial"/>
          <w:lang w:val="en-GB"/>
        </w:rPr>
        <w:t>Law No. 4483</w:t>
      </w:r>
      <w:r w:rsidR="00AF2A88" w:rsidRPr="00817133">
        <w:rPr>
          <w:rStyle w:val="DipnotBavurusu"/>
          <w:rFonts w:ascii="Arial" w:hAnsi="Arial" w:cs="Arial"/>
          <w:lang w:val="en-GB"/>
        </w:rPr>
        <w:footnoteReference w:id="17"/>
      </w:r>
      <w:r w:rsidR="00E605B5" w:rsidRPr="00743606">
        <w:rPr>
          <w:rFonts w:ascii="Arial" w:hAnsi="Arial" w:cs="Arial"/>
          <w:lang w:val="en-GB"/>
        </w:rPr>
        <w:t xml:space="preserve"> requires a permission to be obtained from the governor</w:t>
      </w:r>
      <w:r w:rsidR="00DD6348" w:rsidRPr="00743606">
        <w:rPr>
          <w:rFonts w:ascii="Arial" w:hAnsi="Arial" w:cs="Arial"/>
          <w:lang w:val="en-GB"/>
        </w:rPr>
        <w:t>,</w:t>
      </w:r>
      <w:r w:rsidR="00E605B5" w:rsidRPr="00743606">
        <w:rPr>
          <w:rFonts w:ascii="Arial" w:hAnsi="Arial" w:cs="Arial"/>
          <w:lang w:val="en-GB"/>
        </w:rPr>
        <w:t xml:space="preserve"> before a criminal investigation is launched into the</w:t>
      </w:r>
      <w:r w:rsidR="00DD6348" w:rsidRPr="00743606">
        <w:rPr>
          <w:rFonts w:ascii="Arial" w:hAnsi="Arial" w:cs="Arial"/>
          <w:lang w:val="en-GB"/>
        </w:rPr>
        <w:t xml:space="preserve"> actions</w:t>
      </w:r>
      <w:r w:rsidR="00E605B5" w:rsidRPr="00743606">
        <w:rPr>
          <w:rFonts w:ascii="Arial" w:hAnsi="Arial" w:cs="Arial"/>
          <w:lang w:val="en-GB"/>
        </w:rPr>
        <w:t xml:space="preserve"> of security forces while they </w:t>
      </w:r>
      <w:r w:rsidR="00DD6348" w:rsidRPr="00743606">
        <w:rPr>
          <w:rFonts w:ascii="Arial" w:hAnsi="Arial" w:cs="Arial"/>
          <w:lang w:val="en-GB"/>
        </w:rPr>
        <w:t xml:space="preserve">were </w:t>
      </w:r>
      <w:r w:rsidR="00E605B5" w:rsidRPr="00743606">
        <w:rPr>
          <w:rFonts w:ascii="Arial" w:hAnsi="Arial" w:cs="Arial"/>
          <w:lang w:val="en-GB"/>
        </w:rPr>
        <w:t xml:space="preserve">on duty. </w:t>
      </w:r>
      <w:r w:rsidR="002053C7" w:rsidRPr="00743606">
        <w:rPr>
          <w:rFonts w:ascii="Arial" w:hAnsi="Arial" w:cs="Arial"/>
          <w:lang w:val="en-GB"/>
        </w:rPr>
        <w:t xml:space="preserve">Governorates </w:t>
      </w:r>
      <w:r w:rsidR="005F6733" w:rsidRPr="00743606">
        <w:rPr>
          <w:rFonts w:ascii="Arial" w:hAnsi="Arial" w:cs="Arial"/>
          <w:lang w:val="en-GB"/>
        </w:rPr>
        <w:t xml:space="preserve">withhold </w:t>
      </w:r>
      <w:r w:rsidR="002053C7" w:rsidRPr="00743606">
        <w:rPr>
          <w:rFonts w:ascii="Arial" w:hAnsi="Arial" w:cs="Arial"/>
          <w:lang w:val="en-GB"/>
        </w:rPr>
        <w:t xml:space="preserve">this permission </w:t>
      </w:r>
      <w:r w:rsidR="005F6733" w:rsidRPr="00743606">
        <w:rPr>
          <w:rFonts w:ascii="Arial" w:hAnsi="Arial" w:cs="Arial"/>
          <w:lang w:val="en-GB"/>
        </w:rPr>
        <w:t xml:space="preserve">for </w:t>
      </w:r>
      <w:r w:rsidR="002053C7" w:rsidRPr="00743606">
        <w:rPr>
          <w:rFonts w:ascii="Arial" w:hAnsi="Arial" w:cs="Arial"/>
          <w:lang w:val="en-GB"/>
        </w:rPr>
        <w:t>judicial authorities</w:t>
      </w:r>
      <w:r w:rsidR="00035E82">
        <w:rPr>
          <w:rFonts w:ascii="Arial" w:hAnsi="Arial" w:cs="Arial"/>
          <w:lang w:val="en-GB"/>
        </w:rPr>
        <w:t xml:space="preserve">’ investigation into </w:t>
      </w:r>
      <w:r w:rsidR="005F6733" w:rsidRPr="00743606">
        <w:rPr>
          <w:rFonts w:ascii="Arial" w:hAnsi="Arial" w:cs="Arial"/>
          <w:lang w:val="en-GB"/>
        </w:rPr>
        <w:t>claims on the use of disproportionate force by security forces and this</w:t>
      </w:r>
      <w:r w:rsidR="00A32DCF" w:rsidRPr="00743606">
        <w:rPr>
          <w:rFonts w:ascii="Arial" w:hAnsi="Arial" w:cs="Arial"/>
          <w:lang w:val="en-GB"/>
        </w:rPr>
        <w:t>,</w:t>
      </w:r>
      <w:r w:rsidR="005F6733" w:rsidRPr="00743606">
        <w:rPr>
          <w:rFonts w:ascii="Arial" w:hAnsi="Arial" w:cs="Arial"/>
          <w:lang w:val="en-GB"/>
        </w:rPr>
        <w:t xml:space="preserve"> almost always results in </w:t>
      </w:r>
      <w:r w:rsidR="00B43B08" w:rsidRPr="00743606">
        <w:rPr>
          <w:rFonts w:ascii="Arial" w:hAnsi="Arial" w:cs="Arial"/>
          <w:lang w:val="en-GB"/>
        </w:rPr>
        <w:t>impunity for cases of use of disproportionate</w:t>
      </w:r>
      <w:r w:rsidR="005F6733" w:rsidRPr="00743606">
        <w:rPr>
          <w:rFonts w:ascii="Arial" w:hAnsi="Arial" w:cs="Arial"/>
          <w:lang w:val="en-GB"/>
        </w:rPr>
        <w:t xml:space="preserve"> </w:t>
      </w:r>
      <w:r w:rsidR="00B43B08" w:rsidRPr="00743606">
        <w:rPr>
          <w:rFonts w:ascii="Arial" w:hAnsi="Arial" w:cs="Arial"/>
          <w:lang w:val="en-GB"/>
        </w:rPr>
        <w:t xml:space="preserve">force. </w:t>
      </w:r>
    </w:p>
    <w:p w:rsidR="00562D56" w:rsidRPr="00B56EFE" w:rsidRDefault="00562D56" w:rsidP="00887ECA">
      <w:pPr>
        <w:spacing w:line="276" w:lineRule="auto"/>
        <w:jc w:val="both"/>
        <w:rPr>
          <w:rFonts w:ascii="Arial" w:hAnsi="Arial" w:cs="Arial"/>
          <w:b/>
          <w:lang w:val="en-GB"/>
        </w:rPr>
      </w:pPr>
      <w:r w:rsidRPr="00B56EFE">
        <w:rPr>
          <w:rFonts w:ascii="Arial" w:hAnsi="Arial" w:cs="Arial"/>
          <w:b/>
          <w:lang w:val="en-GB"/>
        </w:rPr>
        <w:lastRenderedPageBreak/>
        <w:t>Our recommendations;</w:t>
      </w:r>
    </w:p>
    <w:p w:rsidR="00431373" w:rsidRDefault="00FD5DFB" w:rsidP="00887ECA">
      <w:pPr>
        <w:pStyle w:val="ListeParagraf"/>
        <w:numPr>
          <w:ilvl w:val="0"/>
          <w:numId w:val="6"/>
        </w:numPr>
        <w:spacing w:after="0" w:line="276" w:lineRule="auto"/>
        <w:jc w:val="both"/>
        <w:rPr>
          <w:rStyle w:val="sb8d990e2"/>
          <w:rFonts w:ascii="Arial" w:hAnsi="Arial" w:cs="Arial"/>
          <w:lang w:val="en-GB"/>
        </w:rPr>
      </w:pPr>
      <w:r w:rsidRPr="00817133">
        <w:rPr>
          <w:rStyle w:val="sb8d990e2"/>
          <w:rFonts w:ascii="Arial" w:hAnsi="Arial" w:cs="Arial"/>
          <w:lang w:val="en-GB"/>
        </w:rPr>
        <w:t xml:space="preserve">The powers </w:t>
      </w:r>
      <w:r w:rsidR="00ED740E" w:rsidRPr="00817133">
        <w:rPr>
          <w:rStyle w:val="sb8d990e2"/>
          <w:rFonts w:ascii="Arial" w:hAnsi="Arial" w:cs="Arial"/>
          <w:lang w:val="en-GB"/>
        </w:rPr>
        <w:t>afforded to g</w:t>
      </w:r>
      <w:r w:rsidR="00CF23F7" w:rsidRPr="00817133">
        <w:rPr>
          <w:rStyle w:val="sb8d990e2"/>
          <w:rFonts w:ascii="Arial" w:hAnsi="Arial" w:cs="Arial"/>
          <w:lang w:val="en-GB"/>
        </w:rPr>
        <w:t xml:space="preserve">overnorates </w:t>
      </w:r>
      <w:r w:rsidR="00ED740E" w:rsidRPr="00817133">
        <w:rPr>
          <w:rStyle w:val="sb8d990e2"/>
          <w:rFonts w:ascii="Arial" w:hAnsi="Arial" w:cs="Arial"/>
          <w:lang w:val="en-GB"/>
        </w:rPr>
        <w:t>for</w:t>
      </w:r>
      <w:r w:rsidR="00CF23F7" w:rsidRPr="00817133">
        <w:rPr>
          <w:rStyle w:val="sb8d990e2"/>
          <w:rFonts w:ascii="Arial" w:hAnsi="Arial" w:cs="Arial"/>
          <w:lang w:val="en-GB"/>
        </w:rPr>
        <w:t xml:space="preserve"> </w:t>
      </w:r>
      <w:r w:rsidR="00474EEA" w:rsidRPr="00817133">
        <w:rPr>
          <w:rStyle w:val="sb8d990e2"/>
          <w:rFonts w:ascii="Arial" w:hAnsi="Arial" w:cs="Arial"/>
          <w:lang w:val="en-GB"/>
        </w:rPr>
        <w:t>ban</w:t>
      </w:r>
      <w:r w:rsidR="00ED740E" w:rsidRPr="00817133">
        <w:rPr>
          <w:rStyle w:val="sb8d990e2"/>
          <w:rFonts w:ascii="Arial" w:hAnsi="Arial" w:cs="Arial"/>
          <w:lang w:val="en-GB"/>
        </w:rPr>
        <w:t>ning</w:t>
      </w:r>
      <w:r w:rsidR="00474EEA" w:rsidRPr="00817133">
        <w:rPr>
          <w:rStyle w:val="sb8d990e2"/>
          <w:rFonts w:ascii="Arial" w:hAnsi="Arial" w:cs="Arial"/>
          <w:lang w:val="en-GB"/>
        </w:rPr>
        <w:t xml:space="preserve"> assemblies and demonstrations in an entire province should be abolished, </w:t>
      </w:r>
      <w:r w:rsidR="00030154" w:rsidRPr="00817133">
        <w:rPr>
          <w:rStyle w:val="sb8d990e2"/>
          <w:rFonts w:ascii="Arial" w:hAnsi="Arial" w:cs="Arial"/>
          <w:lang w:val="en-GB"/>
        </w:rPr>
        <w:t xml:space="preserve">however this </w:t>
      </w:r>
      <w:r w:rsidR="00350044" w:rsidRPr="00817133">
        <w:rPr>
          <w:rStyle w:val="sb8d990e2"/>
          <w:rFonts w:ascii="Arial" w:hAnsi="Arial" w:cs="Arial"/>
          <w:lang w:val="en-GB"/>
        </w:rPr>
        <w:t xml:space="preserve">competence </w:t>
      </w:r>
      <w:r w:rsidR="00DE1C4F" w:rsidRPr="00817133">
        <w:rPr>
          <w:rStyle w:val="sb8d990e2"/>
          <w:rFonts w:ascii="Arial" w:hAnsi="Arial" w:cs="Arial"/>
          <w:lang w:val="en-GB"/>
        </w:rPr>
        <w:t xml:space="preserve">should be amended to </w:t>
      </w:r>
      <w:r w:rsidR="00350044" w:rsidRPr="00817133">
        <w:rPr>
          <w:rStyle w:val="sb8d990e2"/>
          <w:rFonts w:ascii="Arial" w:hAnsi="Arial" w:cs="Arial"/>
          <w:lang w:val="en-GB"/>
        </w:rPr>
        <w:t xml:space="preserve">only be reinstated during state of emergency conditions with </w:t>
      </w:r>
      <w:r w:rsidR="00DE1C4F" w:rsidRPr="00817133">
        <w:rPr>
          <w:rStyle w:val="sb8d990e2"/>
          <w:rFonts w:ascii="Arial" w:hAnsi="Arial" w:cs="Arial"/>
          <w:lang w:val="en-GB"/>
        </w:rPr>
        <w:t>a court decision.</w:t>
      </w:r>
    </w:p>
    <w:p w:rsidR="009B1543" w:rsidRPr="00817133" w:rsidRDefault="009B1543" w:rsidP="00887ECA">
      <w:pPr>
        <w:pStyle w:val="ListeParagraf"/>
        <w:spacing w:after="0" w:line="276" w:lineRule="auto"/>
        <w:jc w:val="both"/>
        <w:rPr>
          <w:rStyle w:val="sb8d990e2"/>
          <w:rFonts w:ascii="Arial" w:hAnsi="Arial" w:cs="Arial"/>
          <w:lang w:val="en-GB"/>
        </w:rPr>
      </w:pPr>
    </w:p>
    <w:p w:rsidR="00DE1C4F" w:rsidRDefault="00DE1C4F" w:rsidP="00887ECA">
      <w:pPr>
        <w:pStyle w:val="ListeParagraf"/>
        <w:numPr>
          <w:ilvl w:val="0"/>
          <w:numId w:val="6"/>
        </w:numPr>
        <w:spacing w:after="0" w:line="276" w:lineRule="auto"/>
        <w:jc w:val="both"/>
        <w:rPr>
          <w:rStyle w:val="sb8d990e2"/>
          <w:rFonts w:ascii="Arial" w:hAnsi="Arial" w:cs="Arial"/>
          <w:lang w:val="en-GB"/>
        </w:rPr>
      </w:pPr>
      <w:r w:rsidRPr="00817133">
        <w:rPr>
          <w:rStyle w:val="sb8d990e2"/>
          <w:rFonts w:ascii="Arial" w:hAnsi="Arial" w:cs="Arial"/>
          <w:lang w:val="en-GB"/>
        </w:rPr>
        <w:t>Relevant l</w:t>
      </w:r>
      <w:r w:rsidR="000A721D" w:rsidRPr="00817133">
        <w:rPr>
          <w:rStyle w:val="sb8d990e2"/>
          <w:rFonts w:ascii="Arial" w:hAnsi="Arial" w:cs="Arial"/>
          <w:lang w:val="en-GB"/>
        </w:rPr>
        <w:t>egislation</w:t>
      </w:r>
      <w:r w:rsidRPr="00817133">
        <w:rPr>
          <w:rStyle w:val="sb8d990e2"/>
          <w:rFonts w:ascii="Arial" w:hAnsi="Arial" w:cs="Arial"/>
          <w:lang w:val="en-GB"/>
        </w:rPr>
        <w:t xml:space="preserve"> should be amended </w:t>
      </w:r>
      <w:r w:rsidR="001004AB" w:rsidRPr="00817133">
        <w:rPr>
          <w:rStyle w:val="sb8d990e2"/>
          <w:rFonts w:ascii="Arial" w:hAnsi="Arial" w:cs="Arial"/>
          <w:lang w:val="en-GB"/>
        </w:rPr>
        <w:t xml:space="preserve">to prevent arbitrary use of powers </w:t>
      </w:r>
      <w:r w:rsidR="00E45E30" w:rsidRPr="00817133">
        <w:rPr>
          <w:rStyle w:val="sb8d990e2"/>
          <w:rFonts w:ascii="Arial" w:hAnsi="Arial" w:cs="Arial"/>
          <w:lang w:val="en-GB"/>
        </w:rPr>
        <w:t xml:space="preserve">by public authorities </w:t>
      </w:r>
      <w:r w:rsidR="005432CB" w:rsidRPr="00817133">
        <w:rPr>
          <w:rStyle w:val="sb8d990e2"/>
          <w:rFonts w:ascii="Arial" w:hAnsi="Arial" w:cs="Arial"/>
          <w:lang w:val="en-GB"/>
        </w:rPr>
        <w:t>in regulating</w:t>
      </w:r>
      <w:r w:rsidR="007C5324" w:rsidRPr="00817133">
        <w:rPr>
          <w:rStyle w:val="sb8d990e2"/>
          <w:rFonts w:ascii="Arial" w:hAnsi="Arial" w:cs="Arial"/>
          <w:lang w:val="en-GB"/>
        </w:rPr>
        <w:t xml:space="preserve"> freedom of assembly</w:t>
      </w:r>
      <w:r w:rsidR="00F35872">
        <w:rPr>
          <w:rStyle w:val="sb8d990e2"/>
          <w:rFonts w:ascii="Arial" w:hAnsi="Arial" w:cs="Arial"/>
          <w:lang w:val="en-GB"/>
        </w:rPr>
        <w:t>.</w:t>
      </w:r>
    </w:p>
    <w:p w:rsidR="009B1543" w:rsidRPr="009B1543" w:rsidRDefault="009B1543" w:rsidP="00887ECA">
      <w:pPr>
        <w:pStyle w:val="ListeParagraf"/>
        <w:spacing w:after="0" w:line="276" w:lineRule="auto"/>
        <w:jc w:val="both"/>
        <w:rPr>
          <w:rStyle w:val="sb8d990e2"/>
          <w:rFonts w:ascii="Arial" w:hAnsi="Arial" w:cs="Arial"/>
          <w:lang w:val="en-GB"/>
        </w:rPr>
      </w:pPr>
    </w:p>
    <w:p w:rsidR="00705D32" w:rsidRDefault="00397E70" w:rsidP="00887ECA">
      <w:pPr>
        <w:pStyle w:val="ListeParagraf"/>
        <w:numPr>
          <w:ilvl w:val="0"/>
          <w:numId w:val="6"/>
        </w:numPr>
        <w:spacing w:after="0" w:line="276" w:lineRule="auto"/>
        <w:jc w:val="both"/>
        <w:rPr>
          <w:rStyle w:val="sb8d990e2"/>
          <w:rFonts w:ascii="Arial" w:hAnsi="Arial" w:cs="Arial"/>
          <w:lang w:val="en-GB"/>
        </w:rPr>
      </w:pPr>
      <w:r w:rsidRPr="00817133">
        <w:rPr>
          <w:rStyle w:val="sb8d990e2"/>
          <w:rFonts w:ascii="Arial" w:hAnsi="Arial" w:cs="Arial"/>
          <w:lang w:val="en-GB"/>
        </w:rPr>
        <w:t xml:space="preserve">The notification requirement contained in Law No. 2911 is aimed </w:t>
      </w:r>
      <w:r w:rsidR="00B75317" w:rsidRPr="00817133">
        <w:rPr>
          <w:rStyle w:val="sb8d990e2"/>
          <w:rFonts w:ascii="Arial" w:hAnsi="Arial" w:cs="Arial"/>
          <w:lang w:val="en-GB"/>
        </w:rPr>
        <w:t xml:space="preserve">to </w:t>
      </w:r>
      <w:r w:rsidR="002E3D6B" w:rsidRPr="00817133">
        <w:rPr>
          <w:rStyle w:val="sb8d990e2"/>
          <w:rFonts w:ascii="Arial" w:hAnsi="Arial" w:cs="Arial"/>
          <w:lang w:val="en-GB"/>
        </w:rPr>
        <w:t>protect assemblies and demonstrations as well as their participants</w:t>
      </w:r>
      <w:r w:rsidR="000A721D" w:rsidRPr="00817133">
        <w:rPr>
          <w:rStyle w:val="sb8d990e2"/>
          <w:rFonts w:ascii="Arial" w:hAnsi="Arial" w:cs="Arial"/>
          <w:lang w:val="en-GB"/>
        </w:rPr>
        <w:t>. Relevant legislation</w:t>
      </w:r>
      <w:r w:rsidR="002E3D6B" w:rsidRPr="00817133">
        <w:rPr>
          <w:rStyle w:val="sb8d990e2"/>
          <w:rFonts w:ascii="Arial" w:hAnsi="Arial" w:cs="Arial"/>
          <w:lang w:val="en-GB"/>
        </w:rPr>
        <w:t xml:space="preserve"> </w:t>
      </w:r>
      <w:r w:rsidR="006A6E7F" w:rsidRPr="00817133">
        <w:rPr>
          <w:rStyle w:val="sb8d990e2"/>
          <w:rFonts w:ascii="Arial" w:hAnsi="Arial" w:cs="Arial"/>
          <w:lang w:val="en-GB"/>
        </w:rPr>
        <w:t xml:space="preserve">should be amended to </w:t>
      </w:r>
      <w:r w:rsidR="003425F6" w:rsidRPr="00817133">
        <w:rPr>
          <w:rStyle w:val="sb8d990e2"/>
          <w:rFonts w:ascii="Arial" w:hAnsi="Arial" w:cs="Arial"/>
          <w:lang w:val="en-GB"/>
        </w:rPr>
        <w:t xml:space="preserve">prevent </w:t>
      </w:r>
      <w:r w:rsidR="00BC1017" w:rsidRPr="00817133">
        <w:rPr>
          <w:rStyle w:val="sb8d990e2"/>
          <w:rFonts w:ascii="Arial" w:hAnsi="Arial" w:cs="Arial"/>
          <w:lang w:val="en-GB"/>
        </w:rPr>
        <w:t xml:space="preserve">the arbitrary implementation of the notification requirement as a “mandatory permission </w:t>
      </w:r>
      <w:r w:rsidR="00313A0C" w:rsidRPr="00817133">
        <w:rPr>
          <w:rStyle w:val="sb8d990e2"/>
          <w:rFonts w:ascii="Arial" w:hAnsi="Arial" w:cs="Arial"/>
          <w:lang w:val="en-GB"/>
        </w:rPr>
        <w:t>requirement</w:t>
      </w:r>
      <w:r w:rsidR="00BC1017" w:rsidRPr="00817133">
        <w:rPr>
          <w:rStyle w:val="sb8d990e2"/>
          <w:rFonts w:ascii="Arial" w:hAnsi="Arial" w:cs="Arial"/>
          <w:lang w:val="en-GB"/>
        </w:rPr>
        <w:t>”</w:t>
      </w:r>
      <w:r w:rsidR="003425F6" w:rsidRPr="00817133">
        <w:rPr>
          <w:rStyle w:val="sb8d990e2"/>
          <w:rFonts w:ascii="Arial" w:hAnsi="Arial" w:cs="Arial"/>
          <w:lang w:val="en-GB"/>
        </w:rPr>
        <w:t>.</w:t>
      </w:r>
    </w:p>
    <w:p w:rsidR="009B1543" w:rsidRPr="009B1543" w:rsidRDefault="009B1543" w:rsidP="00887ECA">
      <w:pPr>
        <w:pStyle w:val="ListeParagraf"/>
        <w:spacing w:after="0" w:line="276" w:lineRule="auto"/>
        <w:jc w:val="both"/>
        <w:rPr>
          <w:rStyle w:val="sb8d990e2"/>
          <w:rFonts w:ascii="Arial" w:hAnsi="Arial" w:cs="Arial"/>
          <w:lang w:val="en-GB"/>
        </w:rPr>
      </w:pPr>
    </w:p>
    <w:p w:rsidR="00705D32" w:rsidRDefault="0036203E"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The provisions which pave the way for impunity</w:t>
      </w:r>
      <w:r w:rsidR="00E85123" w:rsidRPr="00817133">
        <w:rPr>
          <w:rFonts w:ascii="Arial" w:hAnsi="Arial" w:cs="Arial"/>
          <w:lang w:val="en-GB"/>
        </w:rPr>
        <w:t>,</w:t>
      </w:r>
      <w:r w:rsidRPr="00817133">
        <w:rPr>
          <w:rFonts w:ascii="Arial" w:hAnsi="Arial" w:cs="Arial"/>
          <w:lang w:val="en-GB"/>
        </w:rPr>
        <w:t xml:space="preserve"> in </w:t>
      </w:r>
      <w:r w:rsidR="0005174C" w:rsidRPr="00817133">
        <w:rPr>
          <w:rFonts w:ascii="Arial" w:hAnsi="Arial" w:cs="Arial"/>
          <w:lang w:val="en-GB"/>
        </w:rPr>
        <w:t>Law No. 4483</w:t>
      </w:r>
      <w:r w:rsidR="00705D32" w:rsidRPr="00817133">
        <w:rPr>
          <w:rFonts w:ascii="Arial" w:hAnsi="Arial" w:cs="Arial"/>
          <w:lang w:val="en-GB"/>
        </w:rPr>
        <w:t xml:space="preserve"> on Litigation of Civil Servants and Other Public Officials</w:t>
      </w:r>
      <w:r w:rsidR="00E85123" w:rsidRPr="00817133">
        <w:rPr>
          <w:rFonts w:ascii="Arial" w:hAnsi="Arial" w:cs="Arial"/>
          <w:lang w:val="en-GB"/>
        </w:rPr>
        <w:t xml:space="preserve"> should be </w:t>
      </w:r>
      <w:r w:rsidR="007B22FF" w:rsidRPr="00817133">
        <w:rPr>
          <w:rFonts w:ascii="Arial" w:hAnsi="Arial" w:cs="Arial"/>
          <w:lang w:val="en-GB"/>
        </w:rPr>
        <w:t xml:space="preserve">amended, the requirement to obtain permission should be abolished </w:t>
      </w:r>
      <w:r w:rsidR="00E51C98" w:rsidRPr="00817133">
        <w:rPr>
          <w:rFonts w:ascii="Arial" w:hAnsi="Arial" w:cs="Arial"/>
          <w:lang w:val="en-GB"/>
        </w:rPr>
        <w:t>for public officials</w:t>
      </w:r>
      <w:r w:rsidR="00EB27D3">
        <w:rPr>
          <w:rFonts w:ascii="Arial" w:hAnsi="Arial" w:cs="Arial"/>
          <w:lang w:val="en-GB"/>
        </w:rPr>
        <w:t>,</w:t>
      </w:r>
      <w:r w:rsidR="00E51C98" w:rsidRPr="00817133">
        <w:rPr>
          <w:rFonts w:ascii="Arial" w:hAnsi="Arial" w:cs="Arial"/>
          <w:lang w:val="en-GB"/>
        </w:rPr>
        <w:t xml:space="preserve"> including security forces</w:t>
      </w:r>
      <w:r w:rsidR="00EB27D3">
        <w:rPr>
          <w:rFonts w:ascii="Arial" w:hAnsi="Arial" w:cs="Arial"/>
          <w:lang w:val="en-GB"/>
        </w:rPr>
        <w:t>,</w:t>
      </w:r>
      <w:r w:rsidR="00E51C98" w:rsidRPr="00817133">
        <w:rPr>
          <w:rFonts w:ascii="Arial" w:hAnsi="Arial" w:cs="Arial"/>
          <w:lang w:val="en-GB"/>
        </w:rPr>
        <w:t xml:space="preserve"> </w:t>
      </w:r>
      <w:r w:rsidR="003B60D4" w:rsidRPr="00817133">
        <w:rPr>
          <w:rFonts w:ascii="Arial" w:hAnsi="Arial" w:cs="Arial"/>
          <w:lang w:val="en-GB"/>
        </w:rPr>
        <w:t xml:space="preserve">for </w:t>
      </w:r>
      <w:r w:rsidR="002B672E" w:rsidRPr="00817133">
        <w:rPr>
          <w:rFonts w:ascii="Arial" w:hAnsi="Arial" w:cs="Arial"/>
          <w:lang w:val="en-GB"/>
        </w:rPr>
        <w:t xml:space="preserve">the effective investigation </w:t>
      </w:r>
      <w:r w:rsidR="00EB27D3">
        <w:rPr>
          <w:rFonts w:ascii="Arial" w:hAnsi="Arial" w:cs="Arial"/>
          <w:lang w:val="en-GB"/>
        </w:rPr>
        <w:t xml:space="preserve">of claims concerning </w:t>
      </w:r>
      <w:r w:rsidR="002B672E" w:rsidRPr="00817133">
        <w:rPr>
          <w:rFonts w:ascii="Arial" w:hAnsi="Arial" w:cs="Arial"/>
          <w:lang w:val="en-GB"/>
        </w:rPr>
        <w:t>human rights violation</w:t>
      </w:r>
      <w:r w:rsidR="00EB27D3">
        <w:rPr>
          <w:rFonts w:ascii="Arial" w:hAnsi="Arial" w:cs="Arial"/>
          <w:lang w:val="en-GB"/>
        </w:rPr>
        <w:t>s.</w:t>
      </w:r>
    </w:p>
    <w:p w:rsidR="009B1543" w:rsidRPr="009B1543" w:rsidRDefault="009B1543" w:rsidP="00887ECA">
      <w:pPr>
        <w:pStyle w:val="ListeParagraf"/>
        <w:spacing w:after="0" w:line="276" w:lineRule="auto"/>
        <w:jc w:val="both"/>
        <w:rPr>
          <w:rFonts w:ascii="Arial" w:hAnsi="Arial" w:cs="Arial"/>
          <w:lang w:val="en-GB"/>
        </w:rPr>
      </w:pPr>
    </w:p>
    <w:p w:rsidR="002B672E" w:rsidRDefault="009F1E53"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The “</w:t>
      </w:r>
      <w:r w:rsidR="006C0B5A" w:rsidRPr="00817133">
        <w:rPr>
          <w:rFonts w:ascii="Arial" w:hAnsi="Arial" w:cs="Arial"/>
          <w:lang w:val="en-GB"/>
        </w:rPr>
        <w:t>Law Enforcement Monitoring Commission</w:t>
      </w:r>
      <w:r w:rsidRPr="00817133">
        <w:rPr>
          <w:rFonts w:ascii="Arial" w:hAnsi="Arial" w:cs="Arial"/>
          <w:lang w:val="en-GB"/>
        </w:rPr>
        <w:t>”</w:t>
      </w:r>
      <w:r w:rsidR="006C0B5A" w:rsidRPr="00817133">
        <w:rPr>
          <w:rFonts w:ascii="Arial" w:hAnsi="Arial" w:cs="Arial"/>
          <w:lang w:val="en-GB"/>
        </w:rPr>
        <w:t xml:space="preserve"> which has been established in 2016 through legislation, </w:t>
      </w:r>
      <w:r w:rsidR="00D44CB9" w:rsidRPr="00817133">
        <w:rPr>
          <w:rFonts w:ascii="Arial" w:hAnsi="Arial" w:cs="Arial"/>
          <w:lang w:val="en-GB"/>
        </w:rPr>
        <w:t xml:space="preserve">is not independent of the executive, neither it is authorised to start an investigation on its own. </w:t>
      </w:r>
      <w:r w:rsidR="00A32DCF">
        <w:rPr>
          <w:rFonts w:ascii="Arial" w:hAnsi="Arial" w:cs="Arial"/>
          <w:lang w:val="en-GB"/>
        </w:rPr>
        <w:t xml:space="preserve">This </w:t>
      </w:r>
      <w:r w:rsidR="0080264C" w:rsidRPr="00817133">
        <w:rPr>
          <w:rFonts w:ascii="Arial" w:hAnsi="Arial" w:cs="Arial"/>
          <w:lang w:val="en-GB"/>
        </w:rPr>
        <w:t xml:space="preserve">Commission should be reformed and </w:t>
      </w:r>
      <w:r w:rsidR="00E533C0" w:rsidRPr="00817133">
        <w:rPr>
          <w:rFonts w:ascii="Arial" w:hAnsi="Arial" w:cs="Arial"/>
          <w:lang w:val="en-GB"/>
        </w:rPr>
        <w:t>its effective operation should be ensured according to international standards</w:t>
      </w:r>
      <w:r w:rsidR="0044234E">
        <w:rPr>
          <w:rFonts w:ascii="Arial" w:hAnsi="Arial" w:cs="Arial"/>
          <w:lang w:val="en-GB"/>
        </w:rPr>
        <w:t>.</w:t>
      </w:r>
    </w:p>
    <w:p w:rsidR="009B1543" w:rsidRPr="009B1543" w:rsidRDefault="009B1543" w:rsidP="00887ECA">
      <w:pPr>
        <w:pStyle w:val="ListeParagraf"/>
        <w:spacing w:after="0" w:line="276" w:lineRule="auto"/>
        <w:jc w:val="both"/>
        <w:rPr>
          <w:rFonts w:ascii="Arial" w:hAnsi="Arial" w:cs="Arial"/>
          <w:lang w:val="en-GB"/>
        </w:rPr>
      </w:pPr>
    </w:p>
    <w:p w:rsidR="00E533C0" w:rsidRDefault="00CF2BCB"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While there are no explicit provisions concerning assemblies and demonstrations in Law No. 5326</w:t>
      </w:r>
      <w:r w:rsidR="00073BF2" w:rsidRPr="00817133">
        <w:rPr>
          <w:rStyle w:val="DipnotBavurusu"/>
          <w:rFonts w:ascii="Arial" w:hAnsi="Arial" w:cs="Arial"/>
          <w:lang w:val="en-GB"/>
        </w:rPr>
        <w:footnoteReference w:id="18"/>
      </w:r>
      <w:r w:rsidRPr="00817133">
        <w:rPr>
          <w:rFonts w:ascii="Arial" w:hAnsi="Arial" w:cs="Arial"/>
          <w:lang w:val="en-GB"/>
        </w:rPr>
        <w:t xml:space="preserve">, </w:t>
      </w:r>
      <w:r w:rsidR="008B4D80" w:rsidRPr="00817133">
        <w:rPr>
          <w:rFonts w:ascii="Arial" w:hAnsi="Arial" w:cs="Arial"/>
          <w:lang w:val="en-GB"/>
        </w:rPr>
        <w:t xml:space="preserve">certain provisions are used by administrative authorities in an arbitrary manner to create chilling effect for </w:t>
      </w:r>
      <w:r w:rsidR="0044234E">
        <w:rPr>
          <w:rFonts w:ascii="Arial" w:hAnsi="Arial" w:cs="Arial"/>
          <w:lang w:val="en-GB"/>
        </w:rPr>
        <w:t xml:space="preserve">issuing fines on </w:t>
      </w:r>
      <w:r w:rsidR="008B4D80" w:rsidRPr="00817133">
        <w:rPr>
          <w:rFonts w:ascii="Arial" w:hAnsi="Arial" w:cs="Arial"/>
          <w:lang w:val="en-GB"/>
        </w:rPr>
        <w:t>demonstrators</w:t>
      </w:r>
      <w:r w:rsidR="00E34380">
        <w:rPr>
          <w:rFonts w:ascii="Arial" w:hAnsi="Arial" w:cs="Arial"/>
          <w:lang w:val="en-GB"/>
        </w:rPr>
        <w:t>.</w:t>
      </w:r>
      <w:r w:rsidR="008B4D80" w:rsidRPr="00817133">
        <w:rPr>
          <w:rFonts w:ascii="Arial" w:hAnsi="Arial" w:cs="Arial"/>
          <w:lang w:val="en-GB"/>
        </w:rPr>
        <w:t xml:space="preserve"> </w:t>
      </w:r>
      <w:r w:rsidR="00E34380">
        <w:rPr>
          <w:rFonts w:ascii="Arial" w:hAnsi="Arial" w:cs="Arial"/>
          <w:lang w:val="en-GB"/>
        </w:rPr>
        <w:t>T</w:t>
      </w:r>
      <w:r w:rsidR="008B4D80" w:rsidRPr="00817133">
        <w:rPr>
          <w:rFonts w:ascii="Arial" w:hAnsi="Arial" w:cs="Arial"/>
          <w:lang w:val="en-GB"/>
        </w:rPr>
        <w:t xml:space="preserve">his </w:t>
      </w:r>
      <w:r w:rsidR="006E2478" w:rsidRPr="00817133">
        <w:rPr>
          <w:rFonts w:ascii="Arial" w:hAnsi="Arial" w:cs="Arial"/>
          <w:lang w:val="en-GB"/>
        </w:rPr>
        <w:t xml:space="preserve">practice should be </w:t>
      </w:r>
      <w:r w:rsidR="00B345D3" w:rsidRPr="00817133">
        <w:rPr>
          <w:rFonts w:ascii="Arial" w:hAnsi="Arial" w:cs="Arial"/>
          <w:lang w:val="en-GB"/>
        </w:rPr>
        <w:t>abolished.</w:t>
      </w:r>
    </w:p>
    <w:p w:rsidR="009B1543" w:rsidRPr="009B1543" w:rsidRDefault="009B1543" w:rsidP="00887ECA">
      <w:pPr>
        <w:pStyle w:val="ListeParagraf"/>
        <w:spacing w:after="0" w:line="276" w:lineRule="auto"/>
        <w:jc w:val="both"/>
        <w:rPr>
          <w:rFonts w:ascii="Arial" w:hAnsi="Arial" w:cs="Arial"/>
          <w:lang w:val="en-GB"/>
        </w:rPr>
      </w:pPr>
    </w:p>
    <w:p w:rsidR="003425F6" w:rsidRDefault="00952176"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Relevant amendments should be made in legislation to </w:t>
      </w:r>
      <w:r w:rsidR="00C97E46" w:rsidRPr="00817133">
        <w:rPr>
          <w:rFonts w:ascii="Arial" w:hAnsi="Arial" w:cs="Arial"/>
          <w:lang w:val="en-GB"/>
        </w:rPr>
        <w:t>prevent</w:t>
      </w:r>
      <w:r w:rsidRPr="00817133">
        <w:rPr>
          <w:rFonts w:ascii="Arial" w:hAnsi="Arial" w:cs="Arial"/>
          <w:lang w:val="en-GB"/>
        </w:rPr>
        <w:t xml:space="preserve"> public auth</w:t>
      </w:r>
      <w:r w:rsidR="00C97E46" w:rsidRPr="00817133">
        <w:rPr>
          <w:rFonts w:ascii="Arial" w:hAnsi="Arial" w:cs="Arial"/>
          <w:lang w:val="en-GB"/>
        </w:rPr>
        <w:t xml:space="preserve">orities and public officials’ discriminatory attitudes towards assemblies and demonstrations through </w:t>
      </w:r>
      <w:r w:rsidR="004D191F" w:rsidRPr="00817133">
        <w:rPr>
          <w:rFonts w:ascii="Arial" w:hAnsi="Arial" w:cs="Arial"/>
          <w:lang w:val="en-GB"/>
        </w:rPr>
        <w:t xml:space="preserve">indicators such as, the subject of a demonstration, </w:t>
      </w:r>
      <w:r w:rsidR="00B13BE1" w:rsidRPr="00817133">
        <w:rPr>
          <w:rFonts w:ascii="Arial" w:hAnsi="Arial" w:cs="Arial"/>
          <w:lang w:val="en-GB"/>
        </w:rPr>
        <w:t xml:space="preserve">purpose, </w:t>
      </w:r>
      <w:r w:rsidR="00B50C52" w:rsidRPr="00817133">
        <w:rPr>
          <w:rFonts w:ascii="Arial" w:hAnsi="Arial" w:cs="Arial"/>
          <w:lang w:val="en-GB"/>
        </w:rPr>
        <w:t>political inclinations of the organisers etc.</w:t>
      </w:r>
    </w:p>
    <w:p w:rsidR="009B1543" w:rsidRPr="009B1543" w:rsidRDefault="009B1543" w:rsidP="00887ECA">
      <w:pPr>
        <w:pStyle w:val="ListeParagraf"/>
        <w:spacing w:after="0" w:line="276" w:lineRule="auto"/>
        <w:jc w:val="both"/>
        <w:rPr>
          <w:rFonts w:ascii="Arial" w:hAnsi="Arial" w:cs="Arial"/>
          <w:lang w:val="en-GB"/>
        </w:rPr>
      </w:pPr>
    </w:p>
    <w:p w:rsidR="00B50C52" w:rsidRPr="00817133" w:rsidRDefault="007F110A"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Relevant </w:t>
      </w:r>
      <w:r w:rsidR="005426B7" w:rsidRPr="00817133">
        <w:rPr>
          <w:rFonts w:ascii="Arial" w:hAnsi="Arial" w:cs="Arial"/>
          <w:lang w:val="en-GB"/>
        </w:rPr>
        <w:t xml:space="preserve">amendments should be made to </w:t>
      </w:r>
      <w:r w:rsidR="00C03BAD" w:rsidRPr="00817133">
        <w:rPr>
          <w:rFonts w:ascii="Arial" w:hAnsi="Arial" w:cs="Arial"/>
          <w:lang w:val="en-GB"/>
        </w:rPr>
        <w:t>facilitate on site monitoring of assemblies and demonstrations for</w:t>
      </w:r>
      <w:r w:rsidR="005426B7" w:rsidRPr="00817133">
        <w:rPr>
          <w:rFonts w:ascii="Arial" w:hAnsi="Arial" w:cs="Arial"/>
          <w:lang w:val="en-GB"/>
        </w:rPr>
        <w:t xml:space="preserve"> journalists and </w:t>
      </w:r>
      <w:r w:rsidR="00F15DFC">
        <w:rPr>
          <w:rFonts w:ascii="Arial" w:hAnsi="Arial" w:cs="Arial"/>
          <w:lang w:val="en-GB"/>
        </w:rPr>
        <w:t>CSOs</w:t>
      </w:r>
      <w:r w:rsidR="00F15DFC" w:rsidRPr="00817133">
        <w:rPr>
          <w:rFonts w:ascii="Arial" w:hAnsi="Arial" w:cs="Arial"/>
          <w:lang w:val="en-GB"/>
        </w:rPr>
        <w:t>.</w:t>
      </w:r>
    </w:p>
    <w:p w:rsidR="00FA2C9C" w:rsidRPr="00817133" w:rsidRDefault="00FA2C9C" w:rsidP="00887ECA">
      <w:pPr>
        <w:spacing w:line="276" w:lineRule="auto"/>
        <w:jc w:val="both"/>
        <w:rPr>
          <w:rFonts w:ascii="Arial" w:hAnsi="Arial" w:cs="Arial"/>
          <w:lang w:val="en-GB"/>
        </w:rPr>
      </w:pPr>
      <w:r w:rsidRPr="00817133">
        <w:rPr>
          <w:rFonts w:ascii="Arial" w:hAnsi="Arial" w:cs="Arial"/>
          <w:lang w:val="en-GB"/>
        </w:rPr>
        <w:br w:type="page"/>
      </w:r>
    </w:p>
    <w:p w:rsidR="00A41840" w:rsidRDefault="00A41840" w:rsidP="00887ECA">
      <w:pPr>
        <w:pStyle w:val="Balk1"/>
        <w:spacing w:line="276" w:lineRule="auto"/>
        <w:jc w:val="both"/>
        <w:rPr>
          <w:b/>
          <w:sz w:val="28"/>
          <w:lang w:val="en-GB"/>
        </w:rPr>
      </w:pPr>
      <w:r w:rsidRPr="00317D0F">
        <w:rPr>
          <w:b/>
          <w:sz w:val="28"/>
          <w:lang w:val="en-GB"/>
        </w:rPr>
        <w:lastRenderedPageBreak/>
        <w:t>Right to Vote and Be Elected</w:t>
      </w:r>
    </w:p>
    <w:p w:rsidR="009B1543" w:rsidRPr="009B1543" w:rsidRDefault="009B1543" w:rsidP="00887ECA">
      <w:pPr>
        <w:spacing w:line="276" w:lineRule="auto"/>
        <w:jc w:val="both"/>
        <w:rPr>
          <w:lang w:val="en-GB"/>
        </w:rPr>
      </w:pPr>
    </w:p>
    <w:p w:rsidR="00732AC3" w:rsidRDefault="00B56EFE" w:rsidP="00887ECA">
      <w:pPr>
        <w:pStyle w:val="ListeParagraf"/>
        <w:numPr>
          <w:ilvl w:val="0"/>
          <w:numId w:val="6"/>
        </w:numPr>
        <w:spacing w:line="276" w:lineRule="auto"/>
        <w:jc w:val="both"/>
        <w:rPr>
          <w:rFonts w:ascii="Arial" w:hAnsi="Arial" w:cs="Arial"/>
          <w:lang w:val="en-GB"/>
        </w:rPr>
      </w:pPr>
      <w:r w:rsidRPr="00B9585F">
        <w:rPr>
          <w:rFonts w:ascii="Arial" w:hAnsi="Arial" w:cs="Arial"/>
          <w:lang w:val="en-GB"/>
        </w:rPr>
        <w:t>Turkey’s e</w:t>
      </w:r>
      <w:r w:rsidR="00A41840" w:rsidRPr="00B9585F">
        <w:rPr>
          <w:rFonts w:ascii="Arial" w:hAnsi="Arial" w:cs="Arial"/>
          <w:lang w:val="en-GB"/>
        </w:rPr>
        <w:t xml:space="preserve">lectoral legislation is not fully </w:t>
      </w:r>
      <w:r w:rsidR="00AF3908" w:rsidRPr="00B9585F">
        <w:rPr>
          <w:rFonts w:ascii="Arial" w:hAnsi="Arial" w:cs="Arial"/>
          <w:lang w:val="en-GB"/>
        </w:rPr>
        <w:t xml:space="preserve">harmonised </w:t>
      </w:r>
      <w:r w:rsidR="00A41840" w:rsidRPr="00B9585F">
        <w:rPr>
          <w:rFonts w:ascii="Arial" w:hAnsi="Arial" w:cs="Arial"/>
          <w:lang w:val="en-GB"/>
        </w:rPr>
        <w:t xml:space="preserve">with international standards yet. The </w:t>
      </w:r>
      <w:r w:rsidR="0024151D" w:rsidRPr="00B9585F">
        <w:rPr>
          <w:rFonts w:ascii="Arial" w:hAnsi="Arial" w:cs="Arial"/>
          <w:lang w:val="en-GB"/>
        </w:rPr>
        <w:t>%</w:t>
      </w:r>
      <w:r w:rsidR="00A41840" w:rsidRPr="00B9585F">
        <w:rPr>
          <w:rFonts w:ascii="Arial" w:hAnsi="Arial" w:cs="Arial"/>
          <w:lang w:val="en-GB"/>
        </w:rPr>
        <w:t>10 general election threshold is still in force</w:t>
      </w:r>
      <w:r w:rsidR="00945538" w:rsidRPr="00B9585F">
        <w:rPr>
          <w:rFonts w:ascii="Arial" w:hAnsi="Arial" w:cs="Arial"/>
          <w:lang w:val="en-GB"/>
        </w:rPr>
        <w:t xml:space="preserve">, which </w:t>
      </w:r>
      <w:r w:rsidR="00A41840" w:rsidRPr="00B9585F">
        <w:rPr>
          <w:rFonts w:ascii="Arial" w:hAnsi="Arial" w:cs="Arial"/>
          <w:lang w:val="en-GB"/>
        </w:rPr>
        <w:t xml:space="preserve">impedes fair representation and foundation of </w:t>
      </w:r>
      <w:r w:rsidR="002671C3">
        <w:rPr>
          <w:rFonts w:ascii="Arial" w:hAnsi="Arial" w:cs="Arial"/>
          <w:lang w:val="en-GB"/>
        </w:rPr>
        <w:t xml:space="preserve">a </w:t>
      </w:r>
      <w:r w:rsidR="00A41840" w:rsidRPr="00B9585F">
        <w:rPr>
          <w:rFonts w:ascii="Arial" w:hAnsi="Arial" w:cs="Arial"/>
          <w:lang w:val="en-GB"/>
        </w:rPr>
        <w:t xml:space="preserve">pluralistic political environment. </w:t>
      </w:r>
      <w:r w:rsidR="000445F5" w:rsidRPr="00B9585F">
        <w:rPr>
          <w:rFonts w:ascii="Arial" w:hAnsi="Arial" w:cs="Arial"/>
          <w:lang w:val="en-GB"/>
        </w:rPr>
        <w:t xml:space="preserve">Some </w:t>
      </w:r>
      <w:r w:rsidR="00A41840" w:rsidRPr="00B9585F">
        <w:rPr>
          <w:rFonts w:ascii="Arial" w:hAnsi="Arial" w:cs="Arial"/>
          <w:lang w:val="en-GB"/>
        </w:rPr>
        <w:t xml:space="preserve">provisions in </w:t>
      </w:r>
      <w:r w:rsidR="000445F5" w:rsidRPr="00B9585F">
        <w:rPr>
          <w:rFonts w:ascii="Arial" w:hAnsi="Arial" w:cs="Arial"/>
          <w:lang w:val="en-GB"/>
        </w:rPr>
        <w:t xml:space="preserve">the </w:t>
      </w:r>
      <w:r w:rsidR="00A41840" w:rsidRPr="00B9585F">
        <w:rPr>
          <w:rFonts w:ascii="Arial" w:hAnsi="Arial" w:cs="Arial"/>
          <w:lang w:val="en-GB"/>
        </w:rPr>
        <w:t xml:space="preserve">electoral legislation </w:t>
      </w:r>
      <w:r w:rsidR="000445F5" w:rsidRPr="00B9585F">
        <w:rPr>
          <w:rFonts w:ascii="Arial" w:hAnsi="Arial" w:cs="Arial"/>
          <w:lang w:val="en-GB"/>
        </w:rPr>
        <w:t xml:space="preserve">put </w:t>
      </w:r>
      <w:r w:rsidR="00A41840" w:rsidRPr="00B9585F">
        <w:rPr>
          <w:rFonts w:ascii="Arial" w:hAnsi="Arial" w:cs="Arial"/>
          <w:lang w:val="en-GB"/>
        </w:rPr>
        <w:t>small political parties and independent candidates</w:t>
      </w:r>
      <w:r w:rsidR="000445F5">
        <w:t xml:space="preserve"> </w:t>
      </w:r>
      <w:r w:rsidR="000445F5" w:rsidRPr="00B9585F">
        <w:rPr>
          <w:rFonts w:ascii="Arial" w:hAnsi="Arial" w:cs="Arial"/>
          <w:lang w:val="en-GB"/>
        </w:rPr>
        <w:t>at a disadvantage</w:t>
      </w:r>
      <w:r w:rsidR="00A41840" w:rsidRPr="00B9585F">
        <w:rPr>
          <w:rFonts w:ascii="Arial" w:hAnsi="Arial" w:cs="Arial"/>
          <w:lang w:val="en-GB"/>
        </w:rPr>
        <w:t xml:space="preserve">. Voter registration </w:t>
      </w:r>
      <w:r w:rsidR="00002264" w:rsidRPr="00B9585F">
        <w:rPr>
          <w:rFonts w:ascii="Arial" w:hAnsi="Arial" w:cs="Arial"/>
          <w:lang w:val="en-GB"/>
        </w:rPr>
        <w:t xml:space="preserve">is </w:t>
      </w:r>
      <w:r w:rsidR="00BF2586" w:rsidRPr="00B9585F">
        <w:rPr>
          <w:rFonts w:ascii="Arial" w:hAnsi="Arial" w:cs="Arial"/>
          <w:lang w:val="en-GB"/>
        </w:rPr>
        <w:t xml:space="preserve">formed through an </w:t>
      </w:r>
      <w:r w:rsidR="00D94D67" w:rsidRPr="00B9585F">
        <w:rPr>
          <w:rFonts w:ascii="Arial" w:hAnsi="Arial" w:cs="Arial"/>
          <w:lang w:val="en-GB"/>
        </w:rPr>
        <w:t>address-based</w:t>
      </w:r>
      <w:r w:rsidR="00BF2586" w:rsidRPr="00B9585F">
        <w:rPr>
          <w:rFonts w:ascii="Arial" w:hAnsi="Arial" w:cs="Arial"/>
          <w:lang w:val="en-GB"/>
        </w:rPr>
        <w:t xml:space="preserve"> system</w:t>
      </w:r>
      <w:r w:rsidR="002671C3">
        <w:rPr>
          <w:rFonts w:ascii="Arial" w:hAnsi="Arial" w:cs="Arial"/>
          <w:lang w:val="en-GB"/>
        </w:rPr>
        <w:t>,</w:t>
      </w:r>
      <w:r w:rsidR="00BF2586" w:rsidRPr="00B9585F">
        <w:rPr>
          <w:rFonts w:ascii="Arial" w:hAnsi="Arial" w:cs="Arial"/>
          <w:lang w:val="en-GB"/>
        </w:rPr>
        <w:t xml:space="preserve"> which </w:t>
      </w:r>
      <w:r w:rsidR="00A41840" w:rsidRPr="00B9585F">
        <w:rPr>
          <w:rFonts w:ascii="Arial" w:hAnsi="Arial" w:cs="Arial"/>
          <w:lang w:val="en-GB"/>
        </w:rPr>
        <w:t xml:space="preserve">violates </w:t>
      </w:r>
      <w:r w:rsidR="00BF2586" w:rsidRPr="00B9585F">
        <w:rPr>
          <w:rFonts w:ascii="Arial" w:hAnsi="Arial" w:cs="Arial"/>
          <w:lang w:val="en-GB"/>
        </w:rPr>
        <w:t xml:space="preserve">the </w:t>
      </w:r>
      <w:r w:rsidR="00A41840" w:rsidRPr="00B9585F">
        <w:rPr>
          <w:rFonts w:ascii="Arial" w:hAnsi="Arial" w:cs="Arial"/>
          <w:lang w:val="en-GB"/>
        </w:rPr>
        <w:t xml:space="preserve">right to vote </w:t>
      </w:r>
      <w:r w:rsidR="00BF2586" w:rsidRPr="00B9585F">
        <w:rPr>
          <w:rFonts w:ascii="Arial" w:hAnsi="Arial" w:cs="Arial"/>
          <w:lang w:val="en-GB"/>
        </w:rPr>
        <w:t xml:space="preserve">for </w:t>
      </w:r>
      <w:r w:rsidR="00A41840" w:rsidRPr="00B9585F">
        <w:rPr>
          <w:rFonts w:ascii="Arial" w:hAnsi="Arial" w:cs="Arial"/>
          <w:lang w:val="en-GB"/>
        </w:rPr>
        <w:t>homeless people</w:t>
      </w:r>
      <w:r w:rsidR="00BF2586" w:rsidRPr="00B9585F">
        <w:rPr>
          <w:rFonts w:ascii="Arial" w:hAnsi="Arial" w:cs="Arial"/>
          <w:lang w:val="en-GB"/>
        </w:rPr>
        <w:t xml:space="preserve"> and women in shelters</w:t>
      </w:r>
      <w:r w:rsidR="00A41840" w:rsidRPr="00B9585F">
        <w:rPr>
          <w:rFonts w:ascii="Arial" w:hAnsi="Arial" w:cs="Arial"/>
          <w:lang w:val="en-GB"/>
        </w:rPr>
        <w:t xml:space="preserve">. </w:t>
      </w:r>
      <w:r w:rsidR="00BF2586" w:rsidRPr="00B9585F">
        <w:rPr>
          <w:rFonts w:ascii="Arial" w:hAnsi="Arial" w:cs="Arial"/>
          <w:lang w:val="en-GB"/>
        </w:rPr>
        <w:t xml:space="preserve">Right to vote for persons with intellectual disabilities </w:t>
      </w:r>
      <w:r w:rsidR="00A41840" w:rsidRPr="00B9585F">
        <w:rPr>
          <w:rFonts w:ascii="Arial" w:hAnsi="Arial" w:cs="Arial"/>
          <w:lang w:val="en-GB"/>
        </w:rPr>
        <w:t>are de</w:t>
      </w:r>
      <w:r w:rsidR="00455187" w:rsidRPr="00B9585F">
        <w:rPr>
          <w:rFonts w:ascii="Arial" w:hAnsi="Arial" w:cs="Arial"/>
          <w:lang w:val="en-GB"/>
        </w:rPr>
        <w:t xml:space="preserve"> </w:t>
      </w:r>
      <w:r w:rsidR="00A41840" w:rsidRPr="00B9585F">
        <w:rPr>
          <w:rFonts w:ascii="Arial" w:hAnsi="Arial" w:cs="Arial"/>
          <w:lang w:val="en-GB"/>
        </w:rPr>
        <w:t xml:space="preserve">facto not acknowledged. </w:t>
      </w:r>
      <w:r w:rsidR="004F196B" w:rsidRPr="00B9585F">
        <w:rPr>
          <w:rFonts w:ascii="Arial" w:hAnsi="Arial" w:cs="Arial"/>
          <w:lang w:val="en-GB"/>
        </w:rPr>
        <w:t xml:space="preserve">The trainings on electoral process organised by the Supreme </w:t>
      </w:r>
      <w:r w:rsidR="002671C3">
        <w:rPr>
          <w:rFonts w:ascii="Arial" w:hAnsi="Arial" w:cs="Arial"/>
          <w:lang w:val="en-GB"/>
        </w:rPr>
        <w:t xml:space="preserve">Electoral Council </w:t>
      </w:r>
      <w:r w:rsidR="004F196B" w:rsidRPr="00B9585F">
        <w:rPr>
          <w:rFonts w:ascii="Arial" w:hAnsi="Arial" w:cs="Arial"/>
          <w:lang w:val="en-GB"/>
        </w:rPr>
        <w:t>(</w:t>
      </w:r>
      <w:r w:rsidR="002671C3">
        <w:rPr>
          <w:rFonts w:ascii="Arial" w:hAnsi="Arial" w:cs="Arial"/>
          <w:lang w:val="en-GB"/>
        </w:rPr>
        <w:t>SEC</w:t>
      </w:r>
      <w:r w:rsidR="004F196B" w:rsidRPr="00B9585F">
        <w:rPr>
          <w:rFonts w:ascii="Arial" w:hAnsi="Arial" w:cs="Arial"/>
          <w:lang w:val="en-GB"/>
        </w:rPr>
        <w:t xml:space="preserve">) which target citizens, are only in Turkish. Lack of </w:t>
      </w:r>
      <w:r w:rsidR="00A41840" w:rsidRPr="00B9585F">
        <w:rPr>
          <w:rFonts w:ascii="Arial" w:hAnsi="Arial" w:cs="Arial"/>
          <w:lang w:val="en-GB"/>
        </w:rPr>
        <w:t>education in other languages</w:t>
      </w:r>
      <w:r w:rsidR="00F40217" w:rsidRPr="00B9585F">
        <w:rPr>
          <w:rFonts w:ascii="Arial" w:hAnsi="Arial" w:cs="Arial"/>
          <w:lang w:val="en-GB"/>
        </w:rPr>
        <w:t xml:space="preserve"> is a </w:t>
      </w:r>
      <w:r w:rsidR="00A41840" w:rsidRPr="00B9585F">
        <w:rPr>
          <w:rFonts w:ascii="Arial" w:hAnsi="Arial" w:cs="Arial"/>
          <w:lang w:val="en-GB"/>
        </w:rPr>
        <w:t xml:space="preserve">violation of rights </w:t>
      </w:r>
      <w:r w:rsidR="00A851D3" w:rsidRPr="00B9585F">
        <w:rPr>
          <w:rFonts w:ascii="Arial" w:hAnsi="Arial" w:cs="Arial"/>
          <w:lang w:val="en-GB"/>
        </w:rPr>
        <w:t xml:space="preserve">for </w:t>
      </w:r>
      <w:r w:rsidR="00A41840" w:rsidRPr="00B9585F">
        <w:rPr>
          <w:rFonts w:ascii="Arial" w:hAnsi="Arial" w:cs="Arial"/>
          <w:lang w:val="en-GB"/>
        </w:rPr>
        <w:t>peopl</w:t>
      </w:r>
      <w:r w:rsidR="00273877" w:rsidRPr="00B9585F">
        <w:rPr>
          <w:rFonts w:ascii="Arial" w:hAnsi="Arial" w:cs="Arial"/>
          <w:lang w:val="en-GB"/>
        </w:rPr>
        <w:t>e from different ethnic groups.</w:t>
      </w:r>
    </w:p>
    <w:p w:rsidR="009B1543" w:rsidRDefault="009B1543" w:rsidP="00887ECA">
      <w:pPr>
        <w:pStyle w:val="ListeParagraf"/>
        <w:spacing w:line="276" w:lineRule="auto"/>
        <w:jc w:val="both"/>
        <w:rPr>
          <w:rFonts w:ascii="Arial" w:hAnsi="Arial" w:cs="Arial"/>
          <w:lang w:val="en-GB"/>
        </w:rPr>
      </w:pPr>
    </w:p>
    <w:p w:rsidR="00732AC3" w:rsidRDefault="00A41840" w:rsidP="00887ECA">
      <w:pPr>
        <w:pStyle w:val="ListeParagraf"/>
        <w:numPr>
          <w:ilvl w:val="0"/>
          <w:numId w:val="6"/>
        </w:numPr>
        <w:spacing w:line="276" w:lineRule="auto"/>
        <w:jc w:val="both"/>
        <w:rPr>
          <w:rFonts w:ascii="Arial" w:hAnsi="Arial" w:cs="Arial"/>
          <w:lang w:val="en-GB"/>
        </w:rPr>
      </w:pPr>
      <w:r w:rsidRPr="00732AC3">
        <w:rPr>
          <w:rFonts w:ascii="Arial" w:hAnsi="Arial" w:cs="Arial"/>
          <w:lang w:val="en-GB"/>
        </w:rPr>
        <w:t xml:space="preserve">The institution responsible </w:t>
      </w:r>
      <w:r w:rsidR="00936A7D" w:rsidRPr="00732AC3">
        <w:rPr>
          <w:rFonts w:ascii="Arial" w:hAnsi="Arial" w:cs="Arial"/>
          <w:lang w:val="en-GB"/>
        </w:rPr>
        <w:t xml:space="preserve">for </w:t>
      </w:r>
      <w:r w:rsidRPr="00732AC3">
        <w:rPr>
          <w:rFonts w:ascii="Arial" w:hAnsi="Arial" w:cs="Arial"/>
          <w:lang w:val="en-GB"/>
        </w:rPr>
        <w:t>organization and conduct</w:t>
      </w:r>
      <w:r w:rsidR="00717A0F" w:rsidRPr="00732AC3">
        <w:rPr>
          <w:rFonts w:ascii="Arial" w:hAnsi="Arial" w:cs="Arial"/>
          <w:lang w:val="en-GB"/>
        </w:rPr>
        <w:t xml:space="preserve">ing </w:t>
      </w:r>
      <w:r w:rsidRPr="00732AC3">
        <w:rPr>
          <w:rFonts w:ascii="Arial" w:hAnsi="Arial" w:cs="Arial"/>
          <w:lang w:val="en-GB"/>
        </w:rPr>
        <w:t xml:space="preserve">elections in Turkey is the </w:t>
      </w:r>
      <w:r w:rsidR="00B95446" w:rsidRPr="00B9585F">
        <w:rPr>
          <w:rFonts w:ascii="Arial" w:hAnsi="Arial" w:cs="Arial"/>
          <w:lang w:val="en-GB"/>
        </w:rPr>
        <w:t xml:space="preserve">Supreme </w:t>
      </w:r>
      <w:r w:rsidR="00B95446">
        <w:rPr>
          <w:rFonts w:ascii="Arial" w:hAnsi="Arial" w:cs="Arial"/>
          <w:lang w:val="en-GB"/>
        </w:rPr>
        <w:t xml:space="preserve">Electoral Council </w:t>
      </w:r>
      <w:r w:rsidR="00B95446" w:rsidRPr="00B9585F">
        <w:rPr>
          <w:rFonts w:ascii="Arial" w:hAnsi="Arial" w:cs="Arial"/>
          <w:lang w:val="en-GB"/>
        </w:rPr>
        <w:t>(</w:t>
      </w:r>
      <w:r w:rsidR="00B95446">
        <w:rPr>
          <w:rFonts w:ascii="Arial" w:hAnsi="Arial" w:cs="Arial"/>
          <w:lang w:val="en-GB"/>
        </w:rPr>
        <w:t>SEC</w:t>
      </w:r>
      <w:r w:rsidR="00B95446" w:rsidRPr="00B9585F">
        <w:rPr>
          <w:rFonts w:ascii="Arial" w:hAnsi="Arial" w:cs="Arial"/>
          <w:lang w:val="en-GB"/>
        </w:rPr>
        <w:t xml:space="preserve">) </w:t>
      </w:r>
      <w:r w:rsidR="00717A0F" w:rsidRPr="00732AC3">
        <w:rPr>
          <w:rFonts w:ascii="Arial" w:hAnsi="Arial" w:cs="Arial"/>
          <w:lang w:val="en-GB"/>
        </w:rPr>
        <w:t xml:space="preserve">which </w:t>
      </w:r>
      <w:r w:rsidRPr="00732AC3">
        <w:rPr>
          <w:rFonts w:ascii="Arial" w:hAnsi="Arial" w:cs="Arial"/>
          <w:lang w:val="en-GB"/>
        </w:rPr>
        <w:t xml:space="preserve">consists of 11 high judges and </w:t>
      </w:r>
      <w:r w:rsidR="00717A0F" w:rsidRPr="00732AC3">
        <w:rPr>
          <w:rFonts w:ascii="Arial" w:hAnsi="Arial" w:cs="Arial"/>
          <w:lang w:val="en-GB"/>
        </w:rPr>
        <w:t xml:space="preserve">political party </w:t>
      </w:r>
      <w:r w:rsidRPr="00732AC3">
        <w:rPr>
          <w:rFonts w:ascii="Arial" w:hAnsi="Arial" w:cs="Arial"/>
          <w:lang w:val="en-GB"/>
        </w:rPr>
        <w:t xml:space="preserve">representatives </w:t>
      </w:r>
      <w:r w:rsidR="00717A0F" w:rsidRPr="00732AC3">
        <w:rPr>
          <w:rFonts w:ascii="Arial" w:hAnsi="Arial" w:cs="Arial"/>
          <w:lang w:val="en-GB"/>
        </w:rPr>
        <w:t xml:space="preserve">in the </w:t>
      </w:r>
      <w:r w:rsidRPr="00732AC3">
        <w:rPr>
          <w:rFonts w:ascii="Arial" w:hAnsi="Arial" w:cs="Arial"/>
          <w:lang w:val="en-GB"/>
        </w:rPr>
        <w:t xml:space="preserve">parliament. </w:t>
      </w:r>
      <w:r w:rsidR="00064BEF" w:rsidRPr="00732AC3">
        <w:rPr>
          <w:rFonts w:ascii="Arial" w:hAnsi="Arial" w:cs="Arial"/>
          <w:lang w:val="en-GB"/>
        </w:rPr>
        <w:t xml:space="preserve">Per the </w:t>
      </w:r>
      <w:r w:rsidRPr="00732AC3">
        <w:rPr>
          <w:rFonts w:ascii="Arial" w:hAnsi="Arial" w:cs="Arial"/>
          <w:lang w:val="en-GB"/>
        </w:rPr>
        <w:t xml:space="preserve">Constitution, decisions taken by </w:t>
      </w:r>
      <w:r w:rsidR="00796544" w:rsidRPr="00732AC3">
        <w:rPr>
          <w:rFonts w:ascii="Arial" w:hAnsi="Arial" w:cs="Arial"/>
          <w:lang w:val="en-GB"/>
        </w:rPr>
        <w:t xml:space="preserve">the </w:t>
      </w:r>
      <w:r w:rsidR="009B79B1">
        <w:rPr>
          <w:rFonts w:ascii="Arial" w:hAnsi="Arial" w:cs="Arial"/>
          <w:lang w:val="en-GB"/>
        </w:rPr>
        <w:t>Council</w:t>
      </w:r>
      <w:r w:rsidRPr="00732AC3">
        <w:rPr>
          <w:rFonts w:ascii="Arial" w:hAnsi="Arial" w:cs="Arial"/>
          <w:lang w:val="en-GB"/>
        </w:rPr>
        <w:t xml:space="preserve"> is final and cannot be </w:t>
      </w:r>
      <w:r w:rsidR="00796544" w:rsidRPr="00732AC3">
        <w:rPr>
          <w:rFonts w:ascii="Arial" w:hAnsi="Arial" w:cs="Arial"/>
          <w:lang w:val="en-GB"/>
        </w:rPr>
        <w:t xml:space="preserve">appealed in higher body. </w:t>
      </w:r>
    </w:p>
    <w:p w:rsidR="009B1543" w:rsidRPr="009B1543" w:rsidRDefault="009B1543" w:rsidP="00887ECA">
      <w:pPr>
        <w:pStyle w:val="ListeParagraf"/>
        <w:spacing w:line="276" w:lineRule="auto"/>
        <w:jc w:val="both"/>
        <w:rPr>
          <w:rFonts w:ascii="Arial" w:hAnsi="Arial" w:cs="Arial"/>
          <w:lang w:val="en-GB"/>
        </w:rPr>
      </w:pPr>
    </w:p>
    <w:p w:rsidR="00732AC3" w:rsidRDefault="00934585" w:rsidP="00887ECA">
      <w:pPr>
        <w:pStyle w:val="ListeParagraf"/>
        <w:numPr>
          <w:ilvl w:val="0"/>
          <w:numId w:val="6"/>
        </w:numPr>
        <w:spacing w:line="276" w:lineRule="auto"/>
        <w:jc w:val="both"/>
        <w:rPr>
          <w:rFonts w:ascii="Arial" w:hAnsi="Arial" w:cs="Arial"/>
          <w:lang w:val="en-GB"/>
        </w:rPr>
      </w:pPr>
      <w:r w:rsidRPr="00732AC3">
        <w:rPr>
          <w:rFonts w:ascii="Arial" w:hAnsi="Arial" w:cs="Arial"/>
          <w:lang w:val="en-GB"/>
        </w:rPr>
        <w:t xml:space="preserve">However, the </w:t>
      </w:r>
      <w:r w:rsidR="00A41840" w:rsidRPr="00732AC3">
        <w:rPr>
          <w:rFonts w:ascii="Arial" w:hAnsi="Arial" w:cs="Arial"/>
          <w:lang w:val="en-GB"/>
        </w:rPr>
        <w:t>S</w:t>
      </w:r>
      <w:r w:rsidR="00745886">
        <w:rPr>
          <w:rFonts w:ascii="Arial" w:hAnsi="Arial" w:cs="Arial"/>
          <w:lang w:val="en-GB"/>
        </w:rPr>
        <w:t>EC</w:t>
      </w:r>
      <w:r w:rsidR="00A41840" w:rsidRPr="00732AC3">
        <w:rPr>
          <w:rFonts w:ascii="Arial" w:hAnsi="Arial" w:cs="Arial"/>
          <w:lang w:val="en-GB"/>
        </w:rPr>
        <w:t xml:space="preserve"> </w:t>
      </w:r>
      <w:r w:rsidRPr="00732AC3">
        <w:rPr>
          <w:rFonts w:ascii="Arial" w:hAnsi="Arial" w:cs="Arial"/>
          <w:lang w:val="en-GB"/>
        </w:rPr>
        <w:t xml:space="preserve">decisions disregard </w:t>
      </w:r>
      <w:r w:rsidR="00A41840" w:rsidRPr="00732AC3">
        <w:rPr>
          <w:rFonts w:ascii="Arial" w:hAnsi="Arial" w:cs="Arial"/>
          <w:lang w:val="en-GB"/>
        </w:rPr>
        <w:t xml:space="preserve">international conventions on the right to vote and to be elected, and in some </w:t>
      </w:r>
      <w:r w:rsidR="00D94D67" w:rsidRPr="00732AC3">
        <w:rPr>
          <w:rFonts w:ascii="Arial" w:hAnsi="Arial" w:cs="Arial"/>
          <w:lang w:val="en-GB"/>
        </w:rPr>
        <w:t>cases, decisions</w:t>
      </w:r>
      <w:r w:rsidR="00A41840" w:rsidRPr="00732AC3">
        <w:rPr>
          <w:rFonts w:ascii="Arial" w:hAnsi="Arial" w:cs="Arial"/>
          <w:lang w:val="en-GB"/>
        </w:rPr>
        <w:t xml:space="preserve"> </w:t>
      </w:r>
      <w:r w:rsidRPr="00732AC3">
        <w:rPr>
          <w:rFonts w:ascii="Arial" w:hAnsi="Arial" w:cs="Arial"/>
          <w:lang w:val="en-GB"/>
        </w:rPr>
        <w:t>are taken contrary to electoral</w:t>
      </w:r>
      <w:r w:rsidR="00A41840" w:rsidRPr="00732AC3">
        <w:rPr>
          <w:rFonts w:ascii="Arial" w:hAnsi="Arial" w:cs="Arial"/>
          <w:lang w:val="en-GB"/>
        </w:rPr>
        <w:t xml:space="preserve"> laws.</w:t>
      </w:r>
      <w:r w:rsidR="00A41840" w:rsidRPr="00817133">
        <w:rPr>
          <w:rStyle w:val="DipnotBavurusu"/>
          <w:rFonts w:ascii="Arial" w:hAnsi="Arial" w:cs="Arial"/>
          <w:lang w:val="en-GB"/>
        </w:rPr>
        <w:footnoteReference w:id="19"/>
      </w:r>
      <w:r w:rsidR="00A41840" w:rsidRPr="00732AC3">
        <w:rPr>
          <w:rFonts w:ascii="Arial" w:hAnsi="Arial" w:cs="Arial"/>
          <w:lang w:val="en-GB"/>
        </w:rPr>
        <w:t xml:space="preserve"> </w:t>
      </w:r>
      <w:r w:rsidR="00D94D67">
        <w:rPr>
          <w:rFonts w:ascii="Arial" w:hAnsi="Arial" w:cs="Arial"/>
          <w:lang w:val="en-GB"/>
        </w:rPr>
        <w:t xml:space="preserve">Therefore, </w:t>
      </w:r>
      <w:r w:rsidR="00A41840" w:rsidRPr="00732AC3">
        <w:rPr>
          <w:rFonts w:ascii="Arial" w:hAnsi="Arial" w:cs="Arial"/>
          <w:lang w:val="en-GB"/>
        </w:rPr>
        <w:t xml:space="preserve">decisions </w:t>
      </w:r>
      <w:r w:rsidR="00A61C80" w:rsidRPr="00732AC3">
        <w:rPr>
          <w:rFonts w:ascii="Arial" w:hAnsi="Arial" w:cs="Arial"/>
          <w:lang w:val="en-GB"/>
        </w:rPr>
        <w:t xml:space="preserve">by </w:t>
      </w:r>
      <w:r w:rsidR="00A41840" w:rsidRPr="00732AC3">
        <w:rPr>
          <w:rFonts w:ascii="Arial" w:hAnsi="Arial" w:cs="Arial"/>
          <w:lang w:val="en-GB"/>
        </w:rPr>
        <w:t xml:space="preserve">the </w:t>
      </w:r>
      <w:r w:rsidR="00745886">
        <w:rPr>
          <w:rFonts w:ascii="Arial" w:hAnsi="Arial" w:cs="Arial"/>
          <w:lang w:val="en-GB"/>
        </w:rPr>
        <w:t xml:space="preserve">SEC </w:t>
      </w:r>
      <w:r w:rsidR="006E7C89">
        <w:rPr>
          <w:rFonts w:ascii="Arial" w:hAnsi="Arial" w:cs="Arial"/>
          <w:lang w:val="en-GB"/>
        </w:rPr>
        <w:t xml:space="preserve">often </w:t>
      </w:r>
      <w:r w:rsidR="00A41840" w:rsidRPr="00732AC3">
        <w:rPr>
          <w:rFonts w:ascii="Arial" w:hAnsi="Arial" w:cs="Arial"/>
          <w:lang w:val="en-GB"/>
        </w:rPr>
        <w:t xml:space="preserve">create double </w:t>
      </w:r>
      <w:r w:rsidR="00A61C80" w:rsidRPr="00732AC3">
        <w:rPr>
          <w:rFonts w:ascii="Arial" w:hAnsi="Arial" w:cs="Arial"/>
          <w:lang w:val="en-GB"/>
        </w:rPr>
        <w:t>standards</w:t>
      </w:r>
      <w:r w:rsidR="00A41840" w:rsidRPr="00732AC3">
        <w:rPr>
          <w:rFonts w:ascii="Arial" w:hAnsi="Arial" w:cs="Arial"/>
          <w:lang w:val="en-GB"/>
        </w:rPr>
        <w:t>.</w:t>
      </w:r>
      <w:r w:rsidR="00732AC3" w:rsidRPr="00732AC3">
        <w:rPr>
          <w:rFonts w:ascii="Arial" w:hAnsi="Arial" w:cs="Arial"/>
          <w:lang w:val="en-GB"/>
        </w:rPr>
        <w:t xml:space="preserve"> </w:t>
      </w:r>
    </w:p>
    <w:p w:rsidR="009B1543" w:rsidRPr="009B1543" w:rsidRDefault="009B1543" w:rsidP="00887ECA">
      <w:pPr>
        <w:pStyle w:val="ListeParagraf"/>
        <w:spacing w:line="276" w:lineRule="auto"/>
        <w:jc w:val="both"/>
        <w:rPr>
          <w:rFonts w:ascii="Arial" w:hAnsi="Arial" w:cs="Arial"/>
          <w:lang w:val="en-GB"/>
        </w:rPr>
      </w:pPr>
    </w:p>
    <w:p w:rsidR="00A41840" w:rsidRPr="00732AC3" w:rsidRDefault="00A41840" w:rsidP="00887ECA">
      <w:pPr>
        <w:pStyle w:val="ListeParagraf"/>
        <w:numPr>
          <w:ilvl w:val="0"/>
          <w:numId w:val="6"/>
        </w:numPr>
        <w:spacing w:line="276" w:lineRule="auto"/>
        <w:jc w:val="both"/>
        <w:rPr>
          <w:rFonts w:ascii="Arial" w:hAnsi="Arial" w:cs="Arial"/>
          <w:lang w:val="en-GB"/>
        </w:rPr>
      </w:pPr>
      <w:r w:rsidRPr="00732AC3">
        <w:rPr>
          <w:rFonts w:ascii="Arial" w:hAnsi="Arial" w:cs="Arial"/>
          <w:lang w:val="en-GB"/>
        </w:rPr>
        <w:t>Turkey imposes blanket ban on voting for all convicted prisoners</w:t>
      </w:r>
      <w:r w:rsidR="00130C0A" w:rsidRPr="00732AC3">
        <w:rPr>
          <w:rFonts w:ascii="Arial" w:hAnsi="Arial" w:cs="Arial"/>
          <w:lang w:val="en-GB"/>
        </w:rPr>
        <w:t xml:space="preserve">, without regard to </w:t>
      </w:r>
      <w:r w:rsidRPr="00732AC3">
        <w:rPr>
          <w:rFonts w:ascii="Arial" w:hAnsi="Arial" w:cs="Arial"/>
          <w:lang w:val="en-GB"/>
        </w:rPr>
        <w:t xml:space="preserve">the nature and gravity of the crime, the length of imprisonment and the conduct of the convicted person. </w:t>
      </w:r>
      <w:r w:rsidR="00F4656F" w:rsidRPr="00732AC3">
        <w:rPr>
          <w:rFonts w:ascii="Arial" w:hAnsi="Arial" w:cs="Arial"/>
          <w:lang w:val="en-GB"/>
        </w:rPr>
        <w:t>In</w:t>
      </w:r>
      <w:r w:rsidRPr="00732AC3">
        <w:rPr>
          <w:rFonts w:ascii="Arial" w:hAnsi="Arial" w:cs="Arial"/>
          <w:lang w:val="en-GB"/>
        </w:rPr>
        <w:t xml:space="preserve"> </w:t>
      </w:r>
      <w:proofErr w:type="spellStart"/>
      <w:r w:rsidRPr="00D651F8">
        <w:rPr>
          <w:rFonts w:ascii="Arial" w:hAnsi="Arial" w:cs="Arial"/>
          <w:i/>
          <w:iCs/>
          <w:lang w:val="en-GB"/>
        </w:rPr>
        <w:t>Söyler</w:t>
      </w:r>
      <w:proofErr w:type="spellEnd"/>
      <w:r w:rsidRPr="00D651F8">
        <w:rPr>
          <w:rFonts w:ascii="Arial" w:hAnsi="Arial" w:cs="Arial"/>
          <w:i/>
          <w:iCs/>
          <w:lang w:val="en-GB"/>
        </w:rPr>
        <w:t xml:space="preserve"> v. Turkey</w:t>
      </w:r>
      <w:r w:rsidRPr="00817133">
        <w:rPr>
          <w:rStyle w:val="DipnotBavurusu"/>
          <w:rFonts w:ascii="Arial" w:hAnsi="Arial" w:cs="Arial"/>
          <w:lang w:val="en-GB"/>
        </w:rPr>
        <w:footnoteReference w:id="20"/>
      </w:r>
      <w:r w:rsidRPr="00732AC3">
        <w:rPr>
          <w:rFonts w:ascii="Arial" w:hAnsi="Arial" w:cs="Arial"/>
          <w:lang w:val="en-GB"/>
        </w:rPr>
        <w:t xml:space="preserve">, the ECtHR found Turkey to be in violation of Article 3 of Protocol 1 to the </w:t>
      </w:r>
      <w:r w:rsidR="000B679D">
        <w:rPr>
          <w:rFonts w:ascii="Arial" w:hAnsi="Arial" w:cs="Arial"/>
          <w:lang w:val="en-GB"/>
        </w:rPr>
        <w:t>ECHR</w:t>
      </w:r>
      <w:r w:rsidR="00046725">
        <w:rPr>
          <w:rFonts w:ascii="Arial" w:hAnsi="Arial" w:cs="Arial"/>
          <w:lang w:val="en-GB"/>
        </w:rPr>
        <w:t>,</w:t>
      </w:r>
      <w:r w:rsidRPr="00732AC3">
        <w:rPr>
          <w:rFonts w:ascii="Arial" w:hAnsi="Arial" w:cs="Arial"/>
          <w:lang w:val="en-GB"/>
        </w:rPr>
        <w:t xml:space="preserve"> which guarantees the right to free elections. However, </w:t>
      </w:r>
      <w:r w:rsidR="00F4656F" w:rsidRPr="00732AC3">
        <w:rPr>
          <w:rFonts w:ascii="Arial" w:hAnsi="Arial" w:cs="Arial"/>
          <w:lang w:val="en-GB"/>
        </w:rPr>
        <w:t xml:space="preserve">since then, </w:t>
      </w:r>
      <w:r w:rsidRPr="00732AC3">
        <w:rPr>
          <w:rFonts w:ascii="Arial" w:hAnsi="Arial" w:cs="Arial"/>
          <w:lang w:val="en-GB"/>
        </w:rPr>
        <w:t xml:space="preserve">no amendment has been made </w:t>
      </w:r>
      <w:r w:rsidR="00F4656F" w:rsidRPr="00732AC3">
        <w:rPr>
          <w:rFonts w:ascii="Arial" w:hAnsi="Arial" w:cs="Arial"/>
          <w:lang w:val="en-GB"/>
        </w:rPr>
        <w:t xml:space="preserve">on </w:t>
      </w:r>
      <w:r w:rsidR="002B7F74">
        <w:rPr>
          <w:rFonts w:ascii="Arial" w:hAnsi="Arial" w:cs="Arial"/>
          <w:lang w:val="en-GB"/>
        </w:rPr>
        <w:t xml:space="preserve">the relevant legislation </w:t>
      </w:r>
      <w:r w:rsidR="00F4656F" w:rsidRPr="00732AC3">
        <w:rPr>
          <w:rFonts w:ascii="Arial" w:hAnsi="Arial" w:cs="Arial"/>
          <w:lang w:val="en-GB"/>
        </w:rPr>
        <w:t xml:space="preserve">which </w:t>
      </w:r>
      <w:r w:rsidRPr="00732AC3">
        <w:rPr>
          <w:rFonts w:ascii="Arial" w:hAnsi="Arial" w:cs="Arial"/>
          <w:lang w:val="en-GB"/>
        </w:rPr>
        <w:t>still fails to meet the criteria.</w:t>
      </w:r>
    </w:p>
    <w:p w:rsidR="0003188D" w:rsidRDefault="0003188D" w:rsidP="00887ECA">
      <w:pPr>
        <w:spacing w:line="276" w:lineRule="auto"/>
        <w:jc w:val="both"/>
        <w:rPr>
          <w:rFonts w:ascii="Arial" w:hAnsi="Arial" w:cs="Arial"/>
          <w:b/>
          <w:lang w:val="en-GB"/>
        </w:rPr>
      </w:pPr>
    </w:p>
    <w:p w:rsidR="00A41840" w:rsidRPr="00817133" w:rsidRDefault="00A41840" w:rsidP="00887ECA">
      <w:pPr>
        <w:spacing w:line="276" w:lineRule="auto"/>
        <w:jc w:val="both"/>
        <w:rPr>
          <w:rFonts w:ascii="Arial" w:hAnsi="Arial" w:cs="Arial"/>
          <w:lang w:val="en-GB"/>
        </w:rPr>
      </w:pPr>
      <w:r w:rsidRPr="00273877">
        <w:rPr>
          <w:rFonts w:ascii="Arial" w:hAnsi="Arial" w:cs="Arial"/>
          <w:b/>
          <w:lang w:val="en-GB"/>
        </w:rPr>
        <w:t>Our recommendations</w:t>
      </w:r>
      <w:r w:rsidRPr="00817133">
        <w:rPr>
          <w:rFonts w:ascii="Arial" w:hAnsi="Arial" w:cs="Arial"/>
          <w:lang w:val="en-GB"/>
        </w:rPr>
        <w:t>;</w:t>
      </w:r>
    </w:p>
    <w:p w:rsidR="00A41840" w:rsidRDefault="00A41840"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There is currently no mechanism to provide for the transparency and effective audit of the electoral expenses of political parties and candidates. To ensure </w:t>
      </w:r>
      <w:r w:rsidR="00410F3A">
        <w:rPr>
          <w:rFonts w:ascii="Arial" w:hAnsi="Arial" w:cs="Arial"/>
          <w:lang w:val="en-GB"/>
        </w:rPr>
        <w:t xml:space="preserve">the public’s </w:t>
      </w:r>
      <w:r w:rsidRPr="00817133">
        <w:rPr>
          <w:rFonts w:ascii="Arial" w:hAnsi="Arial" w:cs="Arial"/>
          <w:lang w:val="en-GB"/>
        </w:rPr>
        <w:t>right to know</w:t>
      </w:r>
      <w:r w:rsidR="00410F3A">
        <w:rPr>
          <w:rFonts w:ascii="Arial" w:hAnsi="Arial" w:cs="Arial"/>
          <w:lang w:val="en-GB"/>
        </w:rPr>
        <w:t xml:space="preserve"> </w:t>
      </w:r>
      <w:r w:rsidRPr="00817133">
        <w:rPr>
          <w:rFonts w:ascii="Arial" w:hAnsi="Arial" w:cs="Arial"/>
          <w:lang w:val="en-GB"/>
        </w:rPr>
        <w:t xml:space="preserve">and transparency of electoral expenses, legal </w:t>
      </w:r>
      <w:r w:rsidR="00410F3A">
        <w:rPr>
          <w:rFonts w:ascii="Arial" w:hAnsi="Arial" w:cs="Arial"/>
          <w:lang w:val="en-GB"/>
        </w:rPr>
        <w:t xml:space="preserve">amendments should be </w:t>
      </w:r>
      <w:r w:rsidRPr="00817133">
        <w:rPr>
          <w:rFonts w:ascii="Arial" w:hAnsi="Arial" w:cs="Arial"/>
          <w:lang w:val="en-GB"/>
        </w:rPr>
        <w:t xml:space="preserve">made and </w:t>
      </w:r>
      <w:r w:rsidR="005F3258">
        <w:rPr>
          <w:rFonts w:ascii="Arial" w:hAnsi="Arial" w:cs="Arial"/>
          <w:lang w:val="en-GB"/>
        </w:rPr>
        <w:t xml:space="preserve">an </w:t>
      </w:r>
      <w:r w:rsidRPr="00817133">
        <w:rPr>
          <w:rFonts w:ascii="Arial" w:hAnsi="Arial" w:cs="Arial"/>
          <w:lang w:val="en-GB"/>
        </w:rPr>
        <w:t>effective mechanism should be established</w:t>
      </w:r>
      <w:r w:rsidR="00040F0D">
        <w:rPr>
          <w:rFonts w:ascii="Arial" w:hAnsi="Arial" w:cs="Arial"/>
          <w:lang w:val="en-GB"/>
        </w:rPr>
        <w:t>.</w:t>
      </w:r>
    </w:p>
    <w:p w:rsidR="009B1543" w:rsidRPr="00817133" w:rsidRDefault="009B1543" w:rsidP="00887ECA">
      <w:pPr>
        <w:pStyle w:val="ListeParagraf"/>
        <w:spacing w:after="0" w:line="276" w:lineRule="auto"/>
        <w:jc w:val="both"/>
        <w:rPr>
          <w:rFonts w:ascii="Arial" w:hAnsi="Arial" w:cs="Arial"/>
          <w:lang w:val="en-GB"/>
        </w:rPr>
      </w:pPr>
    </w:p>
    <w:p w:rsidR="003179B2" w:rsidRDefault="00A41840"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Turkey, with 10%, has the highest electoral threshold </w:t>
      </w:r>
      <w:r w:rsidR="00410F3A">
        <w:rPr>
          <w:rFonts w:ascii="Arial" w:hAnsi="Arial" w:cs="Arial"/>
          <w:lang w:val="en-GB"/>
        </w:rPr>
        <w:t xml:space="preserve">compared to </w:t>
      </w:r>
      <w:r w:rsidR="00C31E3A">
        <w:rPr>
          <w:rFonts w:ascii="Arial" w:hAnsi="Arial" w:cs="Arial"/>
          <w:lang w:val="en-GB"/>
        </w:rPr>
        <w:t xml:space="preserve">other </w:t>
      </w:r>
      <w:r w:rsidRPr="00817133">
        <w:rPr>
          <w:rFonts w:ascii="Arial" w:hAnsi="Arial" w:cs="Arial"/>
          <w:lang w:val="en-GB"/>
        </w:rPr>
        <w:t xml:space="preserve">European </w:t>
      </w:r>
      <w:r w:rsidR="00215677">
        <w:rPr>
          <w:rFonts w:ascii="Arial" w:hAnsi="Arial" w:cs="Arial"/>
          <w:lang w:val="en-GB"/>
        </w:rPr>
        <w:t>countries</w:t>
      </w:r>
      <w:r w:rsidRPr="00817133">
        <w:rPr>
          <w:rFonts w:ascii="Arial" w:hAnsi="Arial" w:cs="Arial"/>
          <w:lang w:val="en-GB"/>
        </w:rPr>
        <w:t xml:space="preserve">. For </w:t>
      </w:r>
      <w:r w:rsidR="003179B2">
        <w:rPr>
          <w:rFonts w:ascii="Arial" w:hAnsi="Arial" w:cs="Arial"/>
          <w:lang w:val="en-GB"/>
        </w:rPr>
        <w:t xml:space="preserve">ensuring </w:t>
      </w:r>
      <w:r w:rsidRPr="00817133">
        <w:rPr>
          <w:rFonts w:ascii="Arial" w:hAnsi="Arial" w:cs="Arial"/>
          <w:lang w:val="en-GB"/>
        </w:rPr>
        <w:t xml:space="preserve">a democratic society and fair representation, </w:t>
      </w:r>
      <w:r w:rsidR="003179B2">
        <w:rPr>
          <w:rFonts w:ascii="Arial" w:hAnsi="Arial" w:cs="Arial"/>
          <w:lang w:val="en-GB"/>
        </w:rPr>
        <w:t xml:space="preserve">relevant legislation should be amended for levelling it down to </w:t>
      </w:r>
      <w:r w:rsidR="0086615D">
        <w:rPr>
          <w:rFonts w:ascii="Arial" w:hAnsi="Arial" w:cs="Arial"/>
          <w:lang w:val="en-GB"/>
        </w:rPr>
        <w:t xml:space="preserve">other European </w:t>
      </w:r>
      <w:r w:rsidR="003179B2">
        <w:rPr>
          <w:rFonts w:ascii="Arial" w:hAnsi="Arial" w:cs="Arial"/>
          <w:lang w:val="en-GB"/>
        </w:rPr>
        <w:t>countries’ percentage or it should be abolished</w:t>
      </w:r>
      <w:r w:rsidR="00040F0D">
        <w:rPr>
          <w:rFonts w:ascii="Arial" w:hAnsi="Arial" w:cs="Arial"/>
          <w:lang w:val="en-GB"/>
        </w:rPr>
        <w:t>.</w:t>
      </w:r>
    </w:p>
    <w:p w:rsidR="009B1543" w:rsidRPr="009B1543" w:rsidRDefault="009B1543" w:rsidP="00887ECA">
      <w:pPr>
        <w:pStyle w:val="ListeParagraf"/>
        <w:spacing w:after="0" w:line="276" w:lineRule="auto"/>
        <w:jc w:val="both"/>
        <w:rPr>
          <w:rFonts w:ascii="Arial" w:hAnsi="Arial" w:cs="Arial"/>
          <w:lang w:val="en-GB"/>
        </w:rPr>
      </w:pPr>
    </w:p>
    <w:p w:rsidR="003179B2" w:rsidRDefault="003179B2"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lastRenderedPageBreak/>
        <w:t>Legal amendments should be made to allow affected voters to appeal to the S</w:t>
      </w:r>
      <w:r w:rsidR="001A6DE2">
        <w:rPr>
          <w:rFonts w:ascii="Arial" w:hAnsi="Arial" w:cs="Arial"/>
          <w:lang w:val="en-GB"/>
        </w:rPr>
        <w:t>EC</w:t>
      </w:r>
      <w:r>
        <w:rPr>
          <w:rFonts w:ascii="Arial" w:hAnsi="Arial" w:cs="Arial"/>
          <w:lang w:val="en-GB"/>
        </w:rPr>
        <w:t xml:space="preserve"> decisions in the Constitution</w:t>
      </w:r>
      <w:r w:rsidR="009B7D9C">
        <w:rPr>
          <w:rFonts w:ascii="Arial" w:hAnsi="Arial" w:cs="Arial"/>
          <w:lang w:val="en-GB"/>
        </w:rPr>
        <w:t>al</w:t>
      </w:r>
      <w:r>
        <w:rPr>
          <w:rFonts w:ascii="Arial" w:hAnsi="Arial" w:cs="Arial"/>
          <w:lang w:val="en-GB"/>
        </w:rPr>
        <w:t xml:space="preserve"> Court</w:t>
      </w:r>
      <w:r w:rsidR="009B7D9C">
        <w:rPr>
          <w:rFonts w:ascii="Arial" w:hAnsi="Arial" w:cs="Arial"/>
          <w:lang w:val="en-GB"/>
        </w:rPr>
        <w:t>.</w:t>
      </w:r>
    </w:p>
    <w:p w:rsidR="009B1543" w:rsidRPr="009B1543" w:rsidRDefault="009B1543" w:rsidP="00887ECA">
      <w:pPr>
        <w:pStyle w:val="ListeParagraf"/>
        <w:spacing w:after="0" w:line="276" w:lineRule="auto"/>
        <w:jc w:val="both"/>
        <w:rPr>
          <w:rFonts w:ascii="Arial" w:hAnsi="Arial" w:cs="Arial"/>
          <w:lang w:val="en-GB"/>
        </w:rPr>
      </w:pPr>
    </w:p>
    <w:p w:rsidR="00A41840" w:rsidRDefault="003179B2"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Legal amendments should be made to</w:t>
      </w:r>
      <w:r w:rsidR="0032001E">
        <w:rPr>
          <w:rFonts w:ascii="Arial" w:hAnsi="Arial" w:cs="Arial"/>
          <w:lang w:val="en-GB"/>
        </w:rPr>
        <w:t xml:space="preserve"> </w:t>
      </w:r>
      <w:r>
        <w:rPr>
          <w:rFonts w:ascii="Arial" w:hAnsi="Arial" w:cs="Arial"/>
          <w:lang w:val="en-GB"/>
        </w:rPr>
        <w:t xml:space="preserve">adopt an </w:t>
      </w:r>
      <w:r w:rsidR="00A41840" w:rsidRPr="00817133">
        <w:rPr>
          <w:rFonts w:ascii="Arial" w:hAnsi="Arial" w:cs="Arial"/>
          <w:lang w:val="en-GB"/>
        </w:rPr>
        <w:t xml:space="preserve">alternative voter </w:t>
      </w:r>
      <w:r w:rsidRPr="00817133">
        <w:rPr>
          <w:rFonts w:ascii="Arial" w:hAnsi="Arial" w:cs="Arial"/>
          <w:lang w:val="en-GB"/>
        </w:rPr>
        <w:t>registry</w:t>
      </w:r>
      <w:r w:rsidR="00A41840" w:rsidRPr="00817133">
        <w:rPr>
          <w:rFonts w:ascii="Arial" w:hAnsi="Arial" w:cs="Arial"/>
          <w:lang w:val="en-GB"/>
        </w:rPr>
        <w:t xml:space="preserve"> for inclusion of homeless people and those living in shelters, </w:t>
      </w:r>
      <w:r>
        <w:rPr>
          <w:rFonts w:ascii="Arial" w:hAnsi="Arial" w:cs="Arial"/>
          <w:lang w:val="en-GB"/>
        </w:rPr>
        <w:t>whose right</w:t>
      </w:r>
      <w:r w:rsidR="00A41840" w:rsidRPr="00817133">
        <w:rPr>
          <w:rFonts w:ascii="Arial" w:hAnsi="Arial" w:cs="Arial"/>
          <w:lang w:val="en-GB"/>
        </w:rPr>
        <w:t xml:space="preserve"> to vote </w:t>
      </w:r>
      <w:r>
        <w:rPr>
          <w:rFonts w:ascii="Arial" w:hAnsi="Arial" w:cs="Arial"/>
          <w:lang w:val="en-GB"/>
        </w:rPr>
        <w:t xml:space="preserve">is </w:t>
      </w:r>
      <w:r w:rsidR="00A41840" w:rsidRPr="00817133">
        <w:rPr>
          <w:rFonts w:ascii="Arial" w:hAnsi="Arial" w:cs="Arial"/>
          <w:lang w:val="en-GB"/>
        </w:rPr>
        <w:t xml:space="preserve">violated </w:t>
      </w:r>
      <w:r>
        <w:rPr>
          <w:rFonts w:ascii="Arial" w:hAnsi="Arial" w:cs="Arial"/>
          <w:lang w:val="en-GB"/>
        </w:rPr>
        <w:t xml:space="preserve">due to the </w:t>
      </w:r>
      <w:r w:rsidR="005D2E2F" w:rsidRPr="00817133">
        <w:rPr>
          <w:rFonts w:ascii="Arial" w:hAnsi="Arial" w:cs="Arial"/>
          <w:lang w:val="en-GB"/>
        </w:rPr>
        <w:t>address-based</w:t>
      </w:r>
      <w:r w:rsidR="00A41840" w:rsidRPr="00817133">
        <w:rPr>
          <w:rFonts w:ascii="Arial" w:hAnsi="Arial" w:cs="Arial"/>
          <w:lang w:val="en-GB"/>
        </w:rPr>
        <w:t xml:space="preserve"> </w:t>
      </w:r>
      <w:r>
        <w:rPr>
          <w:rFonts w:ascii="Arial" w:hAnsi="Arial" w:cs="Arial"/>
          <w:lang w:val="en-GB"/>
        </w:rPr>
        <w:t>system</w:t>
      </w:r>
      <w:r w:rsidR="0032001E">
        <w:rPr>
          <w:rFonts w:ascii="Arial" w:hAnsi="Arial" w:cs="Arial"/>
          <w:lang w:val="en-GB"/>
        </w:rPr>
        <w:t>.</w:t>
      </w:r>
    </w:p>
    <w:p w:rsidR="009B1543" w:rsidRPr="009B1543" w:rsidRDefault="009B1543" w:rsidP="00887ECA">
      <w:pPr>
        <w:spacing w:after="0" w:line="276" w:lineRule="auto"/>
        <w:jc w:val="both"/>
        <w:rPr>
          <w:rFonts w:ascii="Arial" w:hAnsi="Arial" w:cs="Arial"/>
          <w:lang w:val="en-GB"/>
        </w:rPr>
      </w:pPr>
    </w:p>
    <w:p w:rsidR="00A41840" w:rsidRDefault="00A41840"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Necessary legal amendments should be made and voter </w:t>
      </w:r>
      <w:r w:rsidR="0059782C">
        <w:rPr>
          <w:rFonts w:ascii="Arial" w:hAnsi="Arial" w:cs="Arial"/>
          <w:lang w:val="en-GB"/>
        </w:rPr>
        <w:t>trainings</w:t>
      </w:r>
      <w:r w:rsidRPr="00817133">
        <w:rPr>
          <w:rFonts w:ascii="Arial" w:hAnsi="Arial" w:cs="Arial"/>
          <w:lang w:val="en-GB"/>
        </w:rPr>
        <w:t xml:space="preserve"> should be carried out in all languages spoken in Turkey</w:t>
      </w:r>
      <w:r w:rsidR="0032001E">
        <w:rPr>
          <w:rFonts w:ascii="Arial" w:hAnsi="Arial" w:cs="Arial"/>
          <w:lang w:val="en-GB"/>
        </w:rPr>
        <w:t>.</w:t>
      </w:r>
      <w:r w:rsidRPr="00817133">
        <w:rPr>
          <w:rStyle w:val="DipnotBavurusu"/>
          <w:rFonts w:ascii="Arial" w:hAnsi="Arial" w:cs="Arial"/>
          <w:lang w:val="en-GB"/>
        </w:rPr>
        <w:footnoteReference w:id="21"/>
      </w:r>
    </w:p>
    <w:p w:rsidR="009B1543" w:rsidRPr="009B1543" w:rsidRDefault="009B1543" w:rsidP="00887ECA">
      <w:pPr>
        <w:spacing w:after="0" w:line="276" w:lineRule="auto"/>
        <w:jc w:val="both"/>
        <w:rPr>
          <w:rFonts w:ascii="Arial" w:hAnsi="Arial" w:cs="Arial"/>
          <w:lang w:val="en-GB"/>
        </w:rPr>
      </w:pPr>
    </w:p>
    <w:p w:rsidR="00A41840" w:rsidRDefault="004440D2"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Enjoyment of the r</w:t>
      </w:r>
      <w:r w:rsidR="009B6E5D">
        <w:rPr>
          <w:rFonts w:ascii="Arial" w:hAnsi="Arial" w:cs="Arial"/>
          <w:lang w:val="en-GB"/>
        </w:rPr>
        <w:t xml:space="preserve">ight to vote should be </w:t>
      </w:r>
      <w:r>
        <w:rPr>
          <w:rFonts w:ascii="Arial" w:hAnsi="Arial" w:cs="Arial"/>
          <w:lang w:val="en-GB"/>
        </w:rPr>
        <w:t>ensured for persons with intellectual disabilities</w:t>
      </w:r>
      <w:r w:rsidR="00A41840" w:rsidRPr="00817133">
        <w:rPr>
          <w:rFonts w:ascii="Arial" w:hAnsi="Arial" w:cs="Arial"/>
          <w:lang w:val="en-GB"/>
        </w:rPr>
        <w:t>;</w:t>
      </w:r>
    </w:p>
    <w:p w:rsidR="009B1543" w:rsidRPr="009B1543" w:rsidRDefault="009B1543" w:rsidP="00887ECA">
      <w:pPr>
        <w:spacing w:after="0" w:line="276" w:lineRule="auto"/>
        <w:jc w:val="both"/>
        <w:rPr>
          <w:rFonts w:ascii="Arial" w:hAnsi="Arial" w:cs="Arial"/>
          <w:lang w:val="en-GB"/>
        </w:rPr>
      </w:pPr>
    </w:p>
    <w:p w:rsidR="00A41840" w:rsidRDefault="00764C54"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 xml:space="preserve">Necessary legal amendments should be made </w:t>
      </w:r>
      <w:r w:rsidR="00A41840" w:rsidRPr="00817133">
        <w:rPr>
          <w:rFonts w:ascii="Arial" w:hAnsi="Arial" w:cs="Arial"/>
          <w:lang w:val="en-GB"/>
        </w:rPr>
        <w:t xml:space="preserve">to effectively prevent unfair use of public resources and </w:t>
      </w:r>
      <w:r>
        <w:rPr>
          <w:rFonts w:ascii="Arial" w:hAnsi="Arial" w:cs="Arial"/>
          <w:lang w:val="en-GB"/>
        </w:rPr>
        <w:t xml:space="preserve">authority </w:t>
      </w:r>
      <w:r w:rsidR="00A41840" w:rsidRPr="00817133">
        <w:rPr>
          <w:rFonts w:ascii="Arial" w:hAnsi="Arial" w:cs="Arial"/>
          <w:lang w:val="en-GB"/>
        </w:rPr>
        <w:t>for</w:t>
      </w:r>
      <w:r w:rsidR="00647887">
        <w:rPr>
          <w:rFonts w:ascii="Arial" w:hAnsi="Arial" w:cs="Arial"/>
          <w:lang w:val="en-GB"/>
        </w:rPr>
        <w:t>,</w:t>
      </w:r>
      <w:r w:rsidR="00A41840" w:rsidRPr="00817133">
        <w:rPr>
          <w:rFonts w:ascii="Arial" w:hAnsi="Arial" w:cs="Arial"/>
          <w:lang w:val="en-GB"/>
        </w:rPr>
        <w:t xml:space="preserve"> or against political parties</w:t>
      </w:r>
      <w:r w:rsidR="0032001E">
        <w:rPr>
          <w:rFonts w:ascii="Arial" w:hAnsi="Arial" w:cs="Arial"/>
          <w:lang w:val="en-GB"/>
        </w:rPr>
        <w:t>.</w:t>
      </w:r>
      <w:r w:rsidR="00A41840" w:rsidRPr="00817133">
        <w:rPr>
          <w:rFonts w:ascii="Arial" w:hAnsi="Arial" w:cs="Arial"/>
          <w:lang w:val="en-GB"/>
        </w:rPr>
        <w:t xml:space="preserve"> </w:t>
      </w:r>
    </w:p>
    <w:p w:rsidR="009B1543" w:rsidRPr="009B1543" w:rsidRDefault="009B1543" w:rsidP="00887ECA">
      <w:pPr>
        <w:spacing w:after="0" w:line="276" w:lineRule="auto"/>
        <w:jc w:val="both"/>
        <w:rPr>
          <w:rFonts w:ascii="Arial" w:hAnsi="Arial" w:cs="Arial"/>
          <w:lang w:val="en-GB"/>
        </w:rPr>
      </w:pPr>
    </w:p>
    <w:p w:rsidR="00A41840" w:rsidRDefault="00A41840"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Legal </w:t>
      </w:r>
      <w:r w:rsidR="00627415">
        <w:rPr>
          <w:rFonts w:ascii="Arial" w:hAnsi="Arial" w:cs="Arial"/>
          <w:lang w:val="en-GB"/>
        </w:rPr>
        <w:t>amendments</w:t>
      </w:r>
      <w:r w:rsidRPr="00817133">
        <w:rPr>
          <w:rFonts w:ascii="Arial" w:hAnsi="Arial" w:cs="Arial"/>
          <w:lang w:val="en-GB"/>
        </w:rPr>
        <w:t xml:space="preserve"> should be </w:t>
      </w:r>
      <w:r w:rsidR="00E114A6">
        <w:rPr>
          <w:rFonts w:ascii="Arial" w:hAnsi="Arial" w:cs="Arial"/>
          <w:lang w:val="en-GB"/>
        </w:rPr>
        <w:t>made</w:t>
      </w:r>
      <w:r w:rsidRPr="00817133">
        <w:rPr>
          <w:rFonts w:ascii="Arial" w:hAnsi="Arial" w:cs="Arial"/>
          <w:lang w:val="en-GB"/>
        </w:rPr>
        <w:t xml:space="preserve"> and </w:t>
      </w:r>
      <w:r w:rsidR="00E114A6">
        <w:rPr>
          <w:rFonts w:ascii="Arial" w:hAnsi="Arial" w:cs="Arial"/>
          <w:lang w:val="en-GB"/>
        </w:rPr>
        <w:t xml:space="preserve">a </w:t>
      </w:r>
      <w:r w:rsidRPr="00817133">
        <w:rPr>
          <w:rFonts w:ascii="Arial" w:hAnsi="Arial" w:cs="Arial"/>
          <w:lang w:val="en-GB"/>
        </w:rPr>
        <w:t xml:space="preserve">monitoring mechanism should be established to prevent </w:t>
      </w:r>
      <w:r w:rsidR="0032001E">
        <w:rPr>
          <w:rFonts w:ascii="Arial" w:hAnsi="Arial" w:cs="Arial"/>
          <w:lang w:val="en-GB"/>
        </w:rPr>
        <w:t xml:space="preserve">the </w:t>
      </w:r>
      <w:r w:rsidRPr="00817133">
        <w:rPr>
          <w:rFonts w:ascii="Arial" w:hAnsi="Arial" w:cs="Arial"/>
          <w:lang w:val="en-GB"/>
        </w:rPr>
        <w:t xml:space="preserve">use of </w:t>
      </w:r>
      <w:r w:rsidR="00F4002B">
        <w:rPr>
          <w:rFonts w:ascii="Arial" w:hAnsi="Arial" w:cs="Arial"/>
          <w:lang w:val="en-GB"/>
        </w:rPr>
        <w:t>racist</w:t>
      </w:r>
      <w:r w:rsidR="005B2B48">
        <w:rPr>
          <w:rFonts w:ascii="Arial" w:hAnsi="Arial" w:cs="Arial"/>
          <w:lang w:val="en-GB"/>
        </w:rPr>
        <w:t xml:space="preserve">, </w:t>
      </w:r>
      <w:r w:rsidR="00F4002B">
        <w:rPr>
          <w:rFonts w:ascii="Arial" w:hAnsi="Arial" w:cs="Arial"/>
          <w:lang w:val="en-GB"/>
        </w:rPr>
        <w:t>discriminatory and hate speech in</w:t>
      </w:r>
      <w:r w:rsidRPr="00817133">
        <w:rPr>
          <w:rFonts w:ascii="Arial" w:hAnsi="Arial" w:cs="Arial"/>
          <w:lang w:val="en-GB"/>
        </w:rPr>
        <w:t xml:space="preserve"> </w:t>
      </w:r>
      <w:r w:rsidR="00F4002B">
        <w:rPr>
          <w:rFonts w:ascii="Arial" w:hAnsi="Arial" w:cs="Arial"/>
          <w:lang w:val="en-GB"/>
        </w:rPr>
        <w:t xml:space="preserve">election </w:t>
      </w:r>
      <w:r w:rsidRPr="00817133">
        <w:rPr>
          <w:rFonts w:ascii="Arial" w:hAnsi="Arial" w:cs="Arial"/>
          <w:lang w:val="en-GB"/>
        </w:rPr>
        <w:t xml:space="preserve">campaigns by political parties, </w:t>
      </w:r>
      <w:r w:rsidR="00F4002B" w:rsidRPr="00817133">
        <w:rPr>
          <w:rFonts w:ascii="Arial" w:hAnsi="Arial" w:cs="Arial"/>
          <w:lang w:val="en-GB"/>
        </w:rPr>
        <w:t>candidates</w:t>
      </w:r>
      <w:r w:rsidRPr="00817133">
        <w:rPr>
          <w:rFonts w:ascii="Arial" w:hAnsi="Arial" w:cs="Arial"/>
          <w:lang w:val="en-GB"/>
        </w:rPr>
        <w:t xml:space="preserve"> or media outlets</w:t>
      </w:r>
      <w:r w:rsidR="005B2B48">
        <w:rPr>
          <w:rFonts w:ascii="Arial" w:hAnsi="Arial" w:cs="Arial"/>
          <w:lang w:val="en-GB"/>
        </w:rPr>
        <w:t>.</w:t>
      </w:r>
    </w:p>
    <w:p w:rsidR="009B1543" w:rsidRPr="009B1543" w:rsidRDefault="009B1543" w:rsidP="00887ECA">
      <w:pPr>
        <w:spacing w:after="0" w:line="276" w:lineRule="auto"/>
        <w:jc w:val="both"/>
        <w:rPr>
          <w:rFonts w:ascii="Arial" w:hAnsi="Arial" w:cs="Arial"/>
          <w:lang w:val="en-GB"/>
        </w:rPr>
      </w:pPr>
    </w:p>
    <w:p w:rsidR="00A41840" w:rsidRDefault="005B2B48"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Legislation should</w:t>
      </w:r>
      <w:r w:rsidR="00A41840" w:rsidRPr="00817133">
        <w:rPr>
          <w:rFonts w:ascii="Arial" w:hAnsi="Arial" w:cs="Arial"/>
          <w:lang w:val="en-GB"/>
        </w:rPr>
        <w:t xml:space="preserve"> be amended to allow convicted prisoners to vote in accordance with the nature and gravity of the crime, the length of imprisonment</w:t>
      </w:r>
      <w:r w:rsidR="00BE1794">
        <w:rPr>
          <w:rFonts w:ascii="Arial" w:hAnsi="Arial" w:cs="Arial"/>
          <w:lang w:val="en-GB"/>
        </w:rPr>
        <w:t>.</w:t>
      </w:r>
    </w:p>
    <w:p w:rsidR="009B1543" w:rsidRPr="009B1543" w:rsidRDefault="009B1543" w:rsidP="00887ECA">
      <w:pPr>
        <w:spacing w:after="0" w:line="276" w:lineRule="auto"/>
        <w:jc w:val="both"/>
        <w:rPr>
          <w:rFonts w:ascii="Arial" w:hAnsi="Arial" w:cs="Arial"/>
          <w:lang w:val="en-GB"/>
        </w:rPr>
      </w:pPr>
    </w:p>
    <w:p w:rsidR="00A41840" w:rsidRDefault="00B22524" w:rsidP="00887ECA">
      <w:pPr>
        <w:pStyle w:val="ListeParagraf"/>
        <w:numPr>
          <w:ilvl w:val="0"/>
          <w:numId w:val="6"/>
        </w:numPr>
        <w:spacing w:after="0" w:line="276" w:lineRule="auto"/>
        <w:jc w:val="both"/>
        <w:rPr>
          <w:rFonts w:ascii="Arial" w:hAnsi="Arial" w:cs="Arial"/>
          <w:lang w:val="en-GB"/>
        </w:rPr>
      </w:pPr>
      <w:r>
        <w:rPr>
          <w:rFonts w:ascii="Arial" w:hAnsi="Arial" w:cs="Arial"/>
          <w:lang w:val="en-GB"/>
        </w:rPr>
        <w:t xml:space="preserve">Necessary measures should be taken to ensure persons with disabilities can vote by themselves and under secrecy. </w:t>
      </w:r>
      <w:r w:rsidR="00A41840" w:rsidRPr="00817133">
        <w:rPr>
          <w:rFonts w:ascii="Arial" w:hAnsi="Arial" w:cs="Arial"/>
          <w:lang w:val="en-GB"/>
        </w:rPr>
        <w:t xml:space="preserve">Expenses of </w:t>
      </w:r>
      <w:r w:rsidR="003971E5">
        <w:rPr>
          <w:rFonts w:ascii="Arial" w:hAnsi="Arial" w:cs="Arial"/>
          <w:lang w:val="en-GB"/>
        </w:rPr>
        <w:t xml:space="preserve">necessary </w:t>
      </w:r>
      <w:r w:rsidR="00A41840" w:rsidRPr="00817133">
        <w:rPr>
          <w:rFonts w:ascii="Arial" w:hAnsi="Arial" w:cs="Arial"/>
          <w:lang w:val="en-GB"/>
        </w:rPr>
        <w:t>arrangements should be covered by the State</w:t>
      </w:r>
      <w:r w:rsidR="00BE1794">
        <w:rPr>
          <w:rFonts w:ascii="Arial" w:hAnsi="Arial" w:cs="Arial"/>
          <w:lang w:val="en-GB"/>
        </w:rPr>
        <w:t>.</w:t>
      </w:r>
      <w:r w:rsidR="00A41840" w:rsidRPr="00817133">
        <w:rPr>
          <w:rStyle w:val="DipnotBavurusu"/>
          <w:rFonts w:ascii="Arial" w:hAnsi="Arial" w:cs="Arial"/>
          <w:lang w:val="en-GB"/>
        </w:rPr>
        <w:footnoteReference w:id="22"/>
      </w:r>
    </w:p>
    <w:p w:rsidR="009B1543" w:rsidRPr="009B1543" w:rsidRDefault="009B1543" w:rsidP="00887ECA">
      <w:pPr>
        <w:spacing w:after="0" w:line="276" w:lineRule="auto"/>
        <w:jc w:val="both"/>
        <w:rPr>
          <w:rFonts w:ascii="Arial" w:hAnsi="Arial" w:cs="Arial"/>
          <w:lang w:val="en-GB"/>
        </w:rPr>
      </w:pPr>
    </w:p>
    <w:p w:rsidR="00A41840" w:rsidRDefault="00827CB8" w:rsidP="00887ECA">
      <w:pPr>
        <w:pStyle w:val="ListeParagraf"/>
        <w:numPr>
          <w:ilvl w:val="0"/>
          <w:numId w:val="6"/>
        </w:numPr>
        <w:spacing w:after="0" w:line="276" w:lineRule="auto"/>
        <w:jc w:val="both"/>
        <w:rPr>
          <w:rFonts w:ascii="Arial" w:hAnsi="Arial" w:cs="Arial"/>
          <w:lang w:val="en-GB"/>
        </w:rPr>
      </w:pPr>
      <w:r w:rsidRPr="00827CB8">
        <w:rPr>
          <w:rFonts w:ascii="Arial" w:hAnsi="Arial" w:cs="Arial"/>
          <w:lang w:val="en-GB"/>
        </w:rPr>
        <w:t xml:space="preserve">Decisions of the </w:t>
      </w:r>
      <w:r w:rsidR="00735568">
        <w:rPr>
          <w:rFonts w:ascii="Arial" w:hAnsi="Arial" w:cs="Arial"/>
          <w:lang w:val="en-GB"/>
        </w:rPr>
        <w:t>SEC</w:t>
      </w:r>
      <w:r w:rsidRPr="00827CB8">
        <w:rPr>
          <w:rFonts w:ascii="Arial" w:hAnsi="Arial" w:cs="Arial"/>
          <w:lang w:val="en-GB"/>
        </w:rPr>
        <w:t xml:space="preserve"> to be published in the Official Gazette is a legal requirement, h</w:t>
      </w:r>
      <w:r w:rsidR="00A41840" w:rsidRPr="00827CB8">
        <w:rPr>
          <w:rFonts w:ascii="Arial" w:hAnsi="Arial" w:cs="Arial"/>
          <w:lang w:val="en-GB"/>
        </w:rPr>
        <w:t xml:space="preserve">owever, </w:t>
      </w:r>
      <w:r w:rsidRPr="00827CB8">
        <w:rPr>
          <w:rFonts w:ascii="Arial" w:hAnsi="Arial" w:cs="Arial"/>
          <w:lang w:val="en-GB"/>
        </w:rPr>
        <w:t xml:space="preserve">this requirement is not fulfilled in </w:t>
      </w:r>
      <w:r w:rsidR="00BE1794">
        <w:rPr>
          <w:rFonts w:ascii="Arial" w:hAnsi="Arial" w:cs="Arial"/>
          <w:lang w:val="en-GB"/>
        </w:rPr>
        <w:t>practice</w:t>
      </w:r>
      <w:r w:rsidR="009E5161">
        <w:rPr>
          <w:rFonts w:ascii="Arial" w:hAnsi="Arial" w:cs="Arial"/>
          <w:lang w:val="en-GB"/>
        </w:rPr>
        <w:t>; certain decisions are not published</w:t>
      </w:r>
      <w:r>
        <w:rPr>
          <w:rFonts w:ascii="Arial" w:hAnsi="Arial" w:cs="Arial"/>
          <w:lang w:val="en-GB"/>
        </w:rPr>
        <w:t xml:space="preserve"> in the </w:t>
      </w:r>
      <w:r w:rsidR="009E5161">
        <w:rPr>
          <w:rFonts w:ascii="Arial" w:hAnsi="Arial" w:cs="Arial"/>
          <w:lang w:val="en-GB"/>
        </w:rPr>
        <w:t xml:space="preserve">Official </w:t>
      </w:r>
      <w:r>
        <w:rPr>
          <w:rFonts w:ascii="Arial" w:hAnsi="Arial" w:cs="Arial"/>
          <w:lang w:val="en-GB"/>
        </w:rPr>
        <w:t xml:space="preserve">Gazette or </w:t>
      </w:r>
      <w:r w:rsidR="009E5161">
        <w:rPr>
          <w:rFonts w:ascii="Arial" w:hAnsi="Arial" w:cs="Arial"/>
          <w:lang w:val="en-GB"/>
        </w:rPr>
        <w:t xml:space="preserve">the SEC </w:t>
      </w:r>
      <w:r>
        <w:rPr>
          <w:rFonts w:ascii="Arial" w:hAnsi="Arial" w:cs="Arial"/>
          <w:lang w:val="en-GB"/>
        </w:rPr>
        <w:t>website</w:t>
      </w:r>
      <w:r w:rsidRPr="00827CB8">
        <w:rPr>
          <w:rFonts w:ascii="Arial" w:hAnsi="Arial" w:cs="Arial"/>
          <w:lang w:val="en-GB"/>
        </w:rPr>
        <w:t xml:space="preserve">. </w:t>
      </w:r>
      <w:r w:rsidR="00A41840" w:rsidRPr="00827CB8">
        <w:rPr>
          <w:rFonts w:ascii="Arial" w:hAnsi="Arial" w:cs="Arial"/>
          <w:lang w:val="en-GB"/>
        </w:rPr>
        <w:t xml:space="preserve">Necessary </w:t>
      </w:r>
      <w:r>
        <w:rPr>
          <w:rFonts w:ascii="Arial" w:hAnsi="Arial" w:cs="Arial"/>
          <w:lang w:val="en-GB"/>
        </w:rPr>
        <w:t xml:space="preserve">legal amendments should be made </w:t>
      </w:r>
      <w:r w:rsidR="00A41840" w:rsidRPr="00827CB8">
        <w:rPr>
          <w:rFonts w:ascii="Arial" w:hAnsi="Arial" w:cs="Arial"/>
          <w:lang w:val="en-GB"/>
        </w:rPr>
        <w:t xml:space="preserve">for the </w:t>
      </w:r>
      <w:r w:rsidR="0095273B">
        <w:rPr>
          <w:rFonts w:ascii="Arial" w:hAnsi="Arial" w:cs="Arial"/>
          <w:lang w:val="en-GB"/>
        </w:rPr>
        <w:t>SEC</w:t>
      </w:r>
      <w:r w:rsidR="00A41840" w:rsidRPr="00827CB8">
        <w:rPr>
          <w:rFonts w:ascii="Arial" w:hAnsi="Arial" w:cs="Arial"/>
          <w:lang w:val="en-GB"/>
        </w:rPr>
        <w:t xml:space="preserve"> to share its decisions on electoral process with public, in </w:t>
      </w:r>
      <w:r w:rsidR="00A35255">
        <w:rPr>
          <w:rFonts w:ascii="Arial" w:hAnsi="Arial" w:cs="Arial"/>
          <w:lang w:val="en-GB"/>
        </w:rPr>
        <w:t>accessible formats</w:t>
      </w:r>
      <w:r w:rsidR="002C7A3F">
        <w:rPr>
          <w:rFonts w:ascii="Arial" w:hAnsi="Arial" w:cs="Arial"/>
          <w:lang w:val="en-GB"/>
        </w:rPr>
        <w:t>.</w:t>
      </w:r>
    </w:p>
    <w:p w:rsidR="009B1543" w:rsidRPr="009B1543" w:rsidRDefault="009B1543" w:rsidP="00887ECA">
      <w:pPr>
        <w:spacing w:after="0" w:line="276" w:lineRule="auto"/>
        <w:jc w:val="both"/>
        <w:rPr>
          <w:rFonts w:ascii="Arial" w:hAnsi="Arial" w:cs="Arial"/>
          <w:lang w:val="en-GB"/>
        </w:rPr>
      </w:pPr>
    </w:p>
    <w:p w:rsidR="00D70D57" w:rsidRPr="00F54DD6" w:rsidRDefault="00A41840" w:rsidP="00887ECA">
      <w:pPr>
        <w:pStyle w:val="ListeParagraf"/>
        <w:numPr>
          <w:ilvl w:val="0"/>
          <w:numId w:val="6"/>
        </w:numPr>
        <w:spacing w:after="0" w:line="276" w:lineRule="auto"/>
        <w:jc w:val="both"/>
        <w:rPr>
          <w:rFonts w:ascii="Arial" w:hAnsi="Arial" w:cs="Arial"/>
          <w:lang w:val="en-GB"/>
        </w:rPr>
      </w:pPr>
      <w:r w:rsidRPr="00817133">
        <w:rPr>
          <w:rFonts w:ascii="Arial" w:hAnsi="Arial" w:cs="Arial"/>
          <w:lang w:val="en-GB"/>
        </w:rPr>
        <w:t xml:space="preserve">The </w:t>
      </w:r>
      <w:r w:rsidR="00A87CE1">
        <w:rPr>
          <w:rFonts w:ascii="Arial" w:hAnsi="Arial" w:cs="Arial"/>
          <w:lang w:val="en-GB"/>
        </w:rPr>
        <w:t>SEC</w:t>
      </w:r>
      <w:r w:rsidRPr="00817133">
        <w:rPr>
          <w:rFonts w:ascii="Arial" w:hAnsi="Arial" w:cs="Arial"/>
          <w:lang w:val="en-GB"/>
        </w:rPr>
        <w:t xml:space="preserve"> </w:t>
      </w:r>
      <w:r w:rsidR="00D867E6">
        <w:rPr>
          <w:rFonts w:ascii="Arial" w:hAnsi="Arial" w:cs="Arial"/>
          <w:lang w:val="en-GB"/>
        </w:rPr>
        <w:t>rejects accreditation requests by</w:t>
      </w:r>
      <w:r w:rsidRPr="00817133">
        <w:rPr>
          <w:rFonts w:ascii="Arial" w:hAnsi="Arial" w:cs="Arial"/>
          <w:lang w:val="en-GB"/>
        </w:rPr>
        <w:t xml:space="preserve"> election observers for independent elect</w:t>
      </w:r>
      <w:r w:rsidR="00AB757C">
        <w:rPr>
          <w:rFonts w:ascii="Arial" w:hAnsi="Arial" w:cs="Arial"/>
          <w:lang w:val="en-GB"/>
        </w:rPr>
        <w:t xml:space="preserve">ion </w:t>
      </w:r>
      <w:r w:rsidRPr="00817133">
        <w:rPr>
          <w:rFonts w:ascii="Arial" w:hAnsi="Arial" w:cs="Arial"/>
          <w:lang w:val="en-GB"/>
        </w:rPr>
        <w:t xml:space="preserve">monitoring. Legal </w:t>
      </w:r>
      <w:r w:rsidR="00E969F1">
        <w:rPr>
          <w:rFonts w:ascii="Arial" w:hAnsi="Arial" w:cs="Arial"/>
          <w:lang w:val="en-GB"/>
        </w:rPr>
        <w:t>amendments should be made for</w:t>
      </w:r>
      <w:r w:rsidR="00CC374E">
        <w:rPr>
          <w:rFonts w:ascii="Arial" w:hAnsi="Arial" w:cs="Arial"/>
          <w:lang w:val="en-GB"/>
        </w:rPr>
        <w:t xml:space="preserve"> affording a status to</w:t>
      </w:r>
      <w:r w:rsidR="00E969F1">
        <w:rPr>
          <w:rFonts w:ascii="Arial" w:hAnsi="Arial" w:cs="Arial"/>
          <w:lang w:val="en-GB"/>
        </w:rPr>
        <w:t xml:space="preserve"> election monitors</w:t>
      </w:r>
      <w:r w:rsidRPr="00817133">
        <w:rPr>
          <w:rFonts w:ascii="Arial" w:hAnsi="Arial" w:cs="Arial"/>
          <w:lang w:val="en-GB"/>
        </w:rPr>
        <w:t>.</w:t>
      </w:r>
      <w:r w:rsidRPr="00817133">
        <w:rPr>
          <w:rStyle w:val="DipnotBavurusu"/>
          <w:rFonts w:ascii="Arial" w:hAnsi="Arial" w:cs="Arial"/>
          <w:lang w:val="en-GB"/>
        </w:rPr>
        <w:footnoteReference w:id="23"/>
      </w:r>
    </w:p>
    <w:sectPr w:rsidR="00D70D57" w:rsidRPr="00F54D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F09" w:rsidRDefault="006F0F09" w:rsidP="00F51545">
      <w:pPr>
        <w:spacing w:after="0" w:line="240" w:lineRule="auto"/>
      </w:pPr>
      <w:r>
        <w:separator/>
      </w:r>
    </w:p>
  </w:endnote>
  <w:endnote w:type="continuationSeparator" w:id="0">
    <w:p w:rsidR="006F0F09" w:rsidRDefault="006F0F09" w:rsidP="00F5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87055"/>
      <w:docPartObj>
        <w:docPartGallery w:val="Page Numbers (Bottom of Page)"/>
        <w:docPartUnique/>
      </w:docPartObj>
    </w:sdtPr>
    <w:sdtEndPr/>
    <w:sdtContent>
      <w:p w:rsidR="00317D0F" w:rsidRDefault="00317D0F">
        <w:pPr>
          <w:pStyle w:val="AltBilgi"/>
          <w:jc w:val="right"/>
        </w:pPr>
        <w:r>
          <w:fldChar w:fldCharType="begin"/>
        </w:r>
        <w:r>
          <w:instrText>PAGE   \* MERGEFORMAT</w:instrText>
        </w:r>
        <w:r>
          <w:fldChar w:fldCharType="separate"/>
        </w:r>
        <w:r w:rsidR="00213A3E">
          <w:rPr>
            <w:noProof/>
          </w:rPr>
          <w:t>11</w:t>
        </w:r>
        <w:r>
          <w:fldChar w:fldCharType="end"/>
        </w:r>
      </w:p>
    </w:sdtContent>
  </w:sdt>
  <w:p w:rsidR="00317D0F" w:rsidRDefault="00317D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F09" w:rsidRDefault="006F0F09" w:rsidP="00F51545">
      <w:pPr>
        <w:spacing w:after="0" w:line="240" w:lineRule="auto"/>
      </w:pPr>
      <w:r>
        <w:separator/>
      </w:r>
    </w:p>
  </w:footnote>
  <w:footnote w:type="continuationSeparator" w:id="0">
    <w:p w:rsidR="006F0F09" w:rsidRDefault="006F0F09" w:rsidP="00F51545">
      <w:pPr>
        <w:spacing w:after="0" w:line="240" w:lineRule="auto"/>
      </w:pPr>
      <w:r>
        <w:continuationSeparator/>
      </w:r>
    </w:p>
  </w:footnote>
  <w:footnote w:id="1">
    <w:p w:rsidR="00E1112A" w:rsidRPr="006A4958" w:rsidRDefault="00E1112A">
      <w:pPr>
        <w:pStyle w:val="DipnotMetni"/>
        <w:rPr>
          <w:lang w:val="en-GB"/>
        </w:rPr>
      </w:pPr>
      <w:r w:rsidRPr="006A4958">
        <w:rPr>
          <w:rStyle w:val="DipnotBavurusu"/>
          <w:lang w:val="en-GB"/>
        </w:rPr>
        <w:footnoteRef/>
      </w:r>
      <w:r w:rsidRPr="006A4958">
        <w:rPr>
          <w:lang w:val="en-GB"/>
        </w:rPr>
        <w:t xml:space="preserve"> </w:t>
      </w:r>
      <w:r w:rsidR="00331894">
        <w:rPr>
          <w:lang w:val="en-GB"/>
        </w:rPr>
        <w:t xml:space="preserve">International Covenant </w:t>
      </w:r>
      <w:r w:rsidRPr="006A4958">
        <w:rPr>
          <w:lang w:val="en-GB"/>
        </w:rPr>
        <w:t>on Civil and Political Rights</w:t>
      </w:r>
      <w:r w:rsidR="00383AB1" w:rsidRPr="006A4958">
        <w:rPr>
          <w:lang w:val="en-GB"/>
        </w:rPr>
        <w:t xml:space="preserve"> Art. 27</w:t>
      </w:r>
      <w:r w:rsidRPr="006A4958">
        <w:rPr>
          <w:lang w:val="en-GB"/>
        </w:rPr>
        <w:t xml:space="preserve">, </w:t>
      </w:r>
      <w:r w:rsidR="00331894">
        <w:rPr>
          <w:lang w:val="en-GB"/>
        </w:rPr>
        <w:t xml:space="preserve">International Covenant </w:t>
      </w:r>
      <w:r w:rsidRPr="006A4958">
        <w:rPr>
          <w:lang w:val="en-GB"/>
        </w:rPr>
        <w:t xml:space="preserve">on </w:t>
      </w:r>
      <w:r w:rsidR="004C0104" w:rsidRPr="006A4958">
        <w:rPr>
          <w:lang w:val="en-GB"/>
        </w:rPr>
        <w:t xml:space="preserve">Economic, Social and Cultural Rights </w:t>
      </w:r>
      <w:r w:rsidR="00645236" w:rsidRPr="006A4958">
        <w:rPr>
          <w:lang w:val="en-GB"/>
        </w:rPr>
        <w:t>Arts. 13(</w:t>
      </w:r>
      <w:r w:rsidR="00A80E40" w:rsidRPr="006A4958">
        <w:rPr>
          <w:lang w:val="en-GB"/>
        </w:rPr>
        <w:t>3) - (</w:t>
      </w:r>
      <w:r w:rsidR="00645236" w:rsidRPr="006A4958">
        <w:rPr>
          <w:lang w:val="en-GB"/>
        </w:rPr>
        <w:t>4)</w:t>
      </w:r>
      <w:r w:rsidR="00A80E40" w:rsidRPr="006A4958">
        <w:rPr>
          <w:lang w:val="en-GB"/>
        </w:rPr>
        <w:t xml:space="preserve"> </w:t>
      </w:r>
      <w:r w:rsidR="004C0104" w:rsidRPr="006A4958">
        <w:rPr>
          <w:lang w:val="en-GB"/>
        </w:rPr>
        <w:t xml:space="preserve">and the Convention on </w:t>
      </w:r>
      <w:r w:rsidR="00383AB1" w:rsidRPr="006A4958">
        <w:rPr>
          <w:lang w:val="en-GB"/>
        </w:rPr>
        <w:t>the Rights of the Child</w:t>
      </w:r>
      <w:r w:rsidR="00BC4481" w:rsidRPr="006A4958">
        <w:rPr>
          <w:lang w:val="en-GB"/>
        </w:rPr>
        <w:t xml:space="preserve"> Arts. 17, 29 and 30 are all ratified with reservations concerning ethnic and religious minorities. </w:t>
      </w:r>
    </w:p>
  </w:footnote>
  <w:footnote w:id="2">
    <w:p w:rsidR="00707D62" w:rsidRPr="006A4958" w:rsidRDefault="00707D62" w:rsidP="000F394E">
      <w:pPr>
        <w:pStyle w:val="DipnotMetni"/>
        <w:rPr>
          <w:lang w:val="en-GB"/>
        </w:rPr>
      </w:pPr>
      <w:r w:rsidRPr="006A4958">
        <w:rPr>
          <w:rStyle w:val="DipnotBavurusu"/>
          <w:lang w:val="en-GB"/>
        </w:rPr>
        <w:footnoteRef/>
      </w:r>
      <w:r w:rsidRPr="006A4958">
        <w:rPr>
          <w:lang w:val="en-GB"/>
        </w:rPr>
        <w:t xml:space="preserve"> Art. 10 of the Constitution of Turkey states: </w:t>
      </w:r>
      <w:r w:rsidR="000F394E" w:rsidRPr="006A4958">
        <w:rPr>
          <w:lang w:val="en-GB"/>
        </w:rPr>
        <w:t>“</w:t>
      </w:r>
      <w:r w:rsidR="000F394E" w:rsidRPr="006A4958">
        <w:rPr>
          <w:i/>
          <w:lang w:val="en-GB"/>
        </w:rPr>
        <w:t>Everyone is equal before the law without distinction as to language, race, colour, sex, political opinion, philosophical belief, religion and sect, or any such grounds</w:t>
      </w:r>
      <w:r w:rsidR="000F394E" w:rsidRPr="006A4958">
        <w:rPr>
          <w:lang w:val="en-GB"/>
        </w:rPr>
        <w:t>.”</w:t>
      </w:r>
    </w:p>
  </w:footnote>
  <w:footnote w:id="3">
    <w:p w:rsidR="000D1C64" w:rsidRPr="006A4958" w:rsidRDefault="000D1C64">
      <w:pPr>
        <w:pStyle w:val="DipnotMetni"/>
        <w:rPr>
          <w:lang w:val="en-GB"/>
        </w:rPr>
      </w:pPr>
      <w:r w:rsidRPr="006A4958">
        <w:rPr>
          <w:rStyle w:val="DipnotBavurusu"/>
          <w:lang w:val="en-GB"/>
        </w:rPr>
        <w:footnoteRef/>
      </w:r>
      <w:r w:rsidR="003869A3" w:rsidRPr="006A4958">
        <w:rPr>
          <w:lang w:val="en-GB"/>
        </w:rPr>
        <w:t xml:space="preserve"> UPR 2015 Rec</w:t>
      </w:r>
      <w:r w:rsidRPr="006A4958">
        <w:rPr>
          <w:lang w:val="en-GB"/>
        </w:rPr>
        <w:t>ommendations, 148.16 (CZ – Czech Republic), 150.26 (NA – Namibia).</w:t>
      </w:r>
    </w:p>
  </w:footnote>
  <w:footnote w:id="4">
    <w:p w:rsidR="003869A3" w:rsidRPr="006A4958" w:rsidRDefault="003869A3">
      <w:pPr>
        <w:pStyle w:val="DipnotMetni"/>
        <w:rPr>
          <w:lang w:val="en-GB"/>
        </w:rPr>
      </w:pPr>
      <w:r w:rsidRPr="006A4958">
        <w:rPr>
          <w:rStyle w:val="DipnotBavurusu"/>
          <w:lang w:val="en-GB"/>
        </w:rPr>
        <w:footnoteRef/>
      </w:r>
      <w:r w:rsidRPr="006A4958">
        <w:rPr>
          <w:lang w:val="en-GB"/>
        </w:rPr>
        <w:t xml:space="preserve"> Labour Law No. 4857 Art. 5 prohibits </w:t>
      </w:r>
      <w:proofErr w:type="gramStart"/>
      <w:r w:rsidRPr="006A4958">
        <w:rPr>
          <w:lang w:val="en-GB"/>
        </w:rPr>
        <w:t>discrimination,</w:t>
      </w:r>
      <w:proofErr w:type="gramEnd"/>
      <w:r w:rsidRPr="006A4958">
        <w:rPr>
          <w:lang w:val="en-GB"/>
        </w:rPr>
        <w:t xml:space="preserve"> however the provision does not extend to </w:t>
      </w:r>
      <w:r w:rsidR="00B36E3E" w:rsidRPr="006A4958">
        <w:rPr>
          <w:lang w:val="en-GB"/>
        </w:rPr>
        <w:t>job application and recruitment processes.</w:t>
      </w:r>
    </w:p>
  </w:footnote>
  <w:footnote w:id="5">
    <w:p w:rsidR="00E83CE6" w:rsidRPr="006A4958" w:rsidRDefault="00E83CE6" w:rsidP="00E83CE6">
      <w:pPr>
        <w:pStyle w:val="DipnotMetni"/>
        <w:rPr>
          <w:lang w:val="en-GB"/>
        </w:rPr>
      </w:pPr>
      <w:r w:rsidRPr="006A4958">
        <w:rPr>
          <w:rStyle w:val="DipnotBavurusu"/>
          <w:lang w:val="en-GB"/>
        </w:rPr>
        <w:footnoteRef/>
      </w:r>
      <w:r w:rsidRPr="006A4958">
        <w:rPr>
          <w:lang w:val="en-GB"/>
        </w:rPr>
        <w:t xml:space="preserve"> Law No. 5237 Penal Code of Turkey</w:t>
      </w:r>
      <w:r w:rsidR="000D1A66" w:rsidRPr="006A4958">
        <w:rPr>
          <w:lang w:val="en-GB"/>
        </w:rPr>
        <w:t>.</w:t>
      </w:r>
    </w:p>
  </w:footnote>
  <w:footnote w:id="6">
    <w:p w:rsidR="00896847" w:rsidRPr="006A4958" w:rsidRDefault="00E83CE6" w:rsidP="00896847">
      <w:pPr>
        <w:pStyle w:val="DipnotMetni"/>
        <w:rPr>
          <w:i/>
          <w:lang w:val="en-GB"/>
        </w:rPr>
      </w:pPr>
      <w:r w:rsidRPr="006A4958">
        <w:rPr>
          <w:rStyle w:val="DipnotBavurusu"/>
          <w:lang w:val="en-GB"/>
        </w:rPr>
        <w:footnoteRef/>
      </w:r>
      <w:r w:rsidRPr="006A4958">
        <w:rPr>
          <w:lang w:val="en-GB"/>
        </w:rPr>
        <w:t xml:space="preserve"> Penal Code of Turkey Art. 122: Hatred and Discrimination</w:t>
      </w:r>
      <w:r w:rsidR="000D1A66" w:rsidRPr="006A4958">
        <w:rPr>
          <w:lang w:val="en-GB"/>
        </w:rPr>
        <w:t>:</w:t>
      </w:r>
      <w:r w:rsidRPr="006A4958">
        <w:rPr>
          <w:lang w:val="en-GB"/>
        </w:rPr>
        <w:br/>
      </w:r>
      <w:r w:rsidR="00777446" w:rsidRPr="006A4958">
        <w:rPr>
          <w:lang w:val="en-GB"/>
        </w:rPr>
        <w:t>“</w:t>
      </w:r>
      <w:r w:rsidR="00896847" w:rsidRPr="006A4958">
        <w:rPr>
          <w:i/>
          <w:lang w:val="en-GB"/>
        </w:rPr>
        <w:t>(1) Any person who</w:t>
      </w:r>
    </w:p>
    <w:p w:rsidR="00896847" w:rsidRPr="006A4958" w:rsidRDefault="00896847" w:rsidP="00896847">
      <w:pPr>
        <w:pStyle w:val="DipnotMetni"/>
        <w:rPr>
          <w:i/>
          <w:lang w:val="en-GB"/>
        </w:rPr>
      </w:pPr>
      <w:r w:rsidRPr="006A4958">
        <w:rPr>
          <w:i/>
          <w:lang w:val="en-GB"/>
        </w:rPr>
        <w:t>(a) Prevents the sale, transfer or rental of a movable or immovable property offered to the public,</w:t>
      </w:r>
    </w:p>
    <w:p w:rsidR="00896847" w:rsidRPr="006A4958" w:rsidRDefault="00896847" w:rsidP="00896847">
      <w:pPr>
        <w:pStyle w:val="DipnotMetni"/>
        <w:rPr>
          <w:i/>
          <w:lang w:val="en-GB"/>
        </w:rPr>
      </w:pPr>
      <w:r w:rsidRPr="006A4958">
        <w:rPr>
          <w:i/>
          <w:lang w:val="en-GB"/>
        </w:rPr>
        <w:t>(b) Prevents a person from enjoying services offered to the public,</w:t>
      </w:r>
    </w:p>
    <w:p w:rsidR="00896847" w:rsidRPr="006A4958" w:rsidRDefault="00896847" w:rsidP="00896847">
      <w:pPr>
        <w:pStyle w:val="DipnotMetni"/>
        <w:rPr>
          <w:i/>
          <w:lang w:val="en-GB"/>
        </w:rPr>
      </w:pPr>
      <w:r w:rsidRPr="006A4958">
        <w:rPr>
          <w:i/>
          <w:lang w:val="en-GB"/>
        </w:rPr>
        <w:t>(c) Prevents a person from being recruited for a job,</w:t>
      </w:r>
    </w:p>
    <w:p w:rsidR="00896847" w:rsidRPr="006A4958" w:rsidRDefault="00896847" w:rsidP="00896847">
      <w:pPr>
        <w:pStyle w:val="DipnotMetni"/>
        <w:rPr>
          <w:i/>
          <w:lang w:val="en-GB"/>
        </w:rPr>
      </w:pPr>
      <w:r w:rsidRPr="006A4958">
        <w:rPr>
          <w:i/>
          <w:lang w:val="en-GB"/>
        </w:rPr>
        <w:t>(d) Prevents a person from undertaking an ordinary economic activity</w:t>
      </w:r>
    </w:p>
    <w:p w:rsidR="00E83CE6" w:rsidRPr="006A4958" w:rsidRDefault="00896847" w:rsidP="00896847">
      <w:pPr>
        <w:pStyle w:val="DipnotMetni"/>
        <w:rPr>
          <w:lang w:val="en-GB"/>
        </w:rPr>
      </w:pPr>
      <w:r w:rsidRPr="006A4958">
        <w:rPr>
          <w:i/>
          <w:lang w:val="en-GB"/>
        </w:rPr>
        <w:t>on the ground of hatred based on differences of language, race, nationality, colour, gender, disability, political view, philosophical belief, religion or sect shall be sentenced to a penalty of imprisonment for a term of one year to three years</w:t>
      </w:r>
      <w:r w:rsidRPr="006A4958">
        <w:rPr>
          <w:lang w:val="en-GB"/>
        </w:rPr>
        <w:t>.</w:t>
      </w:r>
      <w:r w:rsidR="00777446" w:rsidRPr="006A4958">
        <w:rPr>
          <w:lang w:val="en-GB"/>
        </w:rPr>
        <w:t>”</w:t>
      </w:r>
    </w:p>
  </w:footnote>
  <w:footnote w:id="7">
    <w:p w:rsidR="003021B6" w:rsidRPr="006A4958" w:rsidRDefault="003021B6" w:rsidP="003021B6">
      <w:pPr>
        <w:pStyle w:val="DipnotMetni"/>
        <w:rPr>
          <w:lang w:val="en-GB"/>
        </w:rPr>
      </w:pPr>
      <w:r w:rsidRPr="006A4958">
        <w:rPr>
          <w:rStyle w:val="DipnotBavurusu"/>
          <w:lang w:val="en-GB"/>
        </w:rPr>
        <w:footnoteRef/>
      </w:r>
      <w:r w:rsidRPr="006A4958">
        <w:rPr>
          <w:lang w:val="en-GB"/>
        </w:rPr>
        <w:t xml:space="preserve"> Human Rights and Equality Institution of Turkey </w:t>
      </w:r>
      <w:r w:rsidR="00345507">
        <w:rPr>
          <w:lang w:val="en-GB"/>
        </w:rPr>
        <w:t xml:space="preserve">(TIHEK) </w:t>
      </w:r>
      <w:r w:rsidRPr="006A4958">
        <w:rPr>
          <w:lang w:val="en-GB"/>
        </w:rPr>
        <w:t>was established as a National Preventi</w:t>
      </w:r>
      <w:r w:rsidR="004F1B7F">
        <w:rPr>
          <w:lang w:val="en-GB"/>
        </w:rPr>
        <w:t>ve</w:t>
      </w:r>
      <w:r w:rsidRPr="006A4958">
        <w:rPr>
          <w:lang w:val="en-GB"/>
        </w:rPr>
        <w:t xml:space="preserve"> Mechanism</w:t>
      </w:r>
      <w:r w:rsidR="006A4958" w:rsidRPr="006A4958">
        <w:rPr>
          <w:lang w:val="en-GB"/>
        </w:rPr>
        <w:t>.</w:t>
      </w:r>
    </w:p>
  </w:footnote>
  <w:footnote w:id="8">
    <w:p w:rsidR="00902A2E" w:rsidRPr="006A4958" w:rsidRDefault="00902A2E">
      <w:pPr>
        <w:pStyle w:val="DipnotMetni"/>
        <w:rPr>
          <w:lang w:val="en-GB"/>
        </w:rPr>
      </w:pPr>
      <w:r w:rsidRPr="006A4958">
        <w:rPr>
          <w:rStyle w:val="DipnotBavurusu"/>
          <w:lang w:val="en-GB"/>
        </w:rPr>
        <w:footnoteRef/>
      </w:r>
      <w:r w:rsidRPr="006A4958">
        <w:rPr>
          <w:lang w:val="en-GB"/>
        </w:rPr>
        <w:t xml:space="preserve"> Association for Monitoring Equal Rights, </w:t>
      </w:r>
      <w:r w:rsidR="00085880" w:rsidRPr="006A4958">
        <w:rPr>
          <w:lang w:val="en-GB"/>
        </w:rPr>
        <w:t xml:space="preserve">“Monitoring Report on Discrimination Based on Race, Ethnic Origin, </w:t>
      </w:r>
      <w:r w:rsidR="003368B0" w:rsidRPr="006A4958">
        <w:rPr>
          <w:lang w:val="en-GB"/>
        </w:rPr>
        <w:t>Religion or Belief</w:t>
      </w:r>
      <w:r w:rsidR="00085880" w:rsidRPr="006A4958">
        <w:rPr>
          <w:lang w:val="en-GB"/>
        </w:rPr>
        <w:t>”</w:t>
      </w:r>
      <w:r w:rsidR="00994083" w:rsidRPr="006A4958">
        <w:rPr>
          <w:lang w:val="en-GB"/>
        </w:rPr>
        <w:t xml:space="preserve"> (2018).</w:t>
      </w:r>
    </w:p>
  </w:footnote>
  <w:footnote w:id="9">
    <w:p w:rsidR="00842031" w:rsidRPr="006A4958" w:rsidRDefault="00842031" w:rsidP="00AE1F27">
      <w:pPr>
        <w:pStyle w:val="DipnotMetni"/>
        <w:rPr>
          <w:lang w:val="en-GB"/>
        </w:rPr>
      </w:pPr>
      <w:r w:rsidRPr="006A4958">
        <w:rPr>
          <w:rStyle w:val="DipnotBavurusu"/>
          <w:lang w:val="en-GB"/>
        </w:rPr>
        <w:footnoteRef/>
      </w:r>
      <w:r w:rsidRPr="006A4958">
        <w:rPr>
          <w:lang w:val="en-GB"/>
        </w:rPr>
        <w:t xml:space="preserve"> UPR 2015 Recommendations, 149.5 (GR – Greece), 150.35 (AU – Australia).</w:t>
      </w:r>
      <w:r w:rsidR="00AE1F27" w:rsidRPr="006A4958">
        <w:rPr>
          <w:lang w:val="en-GB"/>
        </w:rPr>
        <w:t xml:space="preserve"> Turkey has stated these recommendations were already implemented or in the process of implementation.</w:t>
      </w:r>
    </w:p>
  </w:footnote>
  <w:footnote w:id="10">
    <w:p w:rsidR="001E74B8" w:rsidRPr="006A4958" w:rsidRDefault="001E74B8">
      <w:pPr>
        <w:pStyle w:val="DipnotMetni"/>
        <w:rPr>
          <w:lang w:val="en-GB"/>
        </w:rPr>
      </w:pPr>
      <w:r w:rsidRPr="006A4958">
        <w:rPr>
          <w:rStyle w:val="DipnotBavurusu"/>
          <w:lang w:val="en-GB"/>
        </w:rPr>
        <w:footnoteRef/>
      </w:r>
      <w:r w:rsidRPr="006A4958">
        <w:rPr>
          <w:lang w:val="en-GB"/>
        </w:rPr>
        <w:t xml:space="preserve"> </w:t>
      </w:r>
      <w:r w:rsidR="004F1B7F">
        <w:rPr>
          <w:lang w:val="en-GB"/>
        </w:rPr>
        <w:t xml:space="preserve">Disability Act, </w:t>
      </w:r>
      <w:r w:rsidRPr="006A4958">
        <w:rPr>
          <w:lang w:val="en-GB"/>
        </w:rPr>
        <w:t xml:space="preserve">Law No. </w:t>
      </w:r>
      <w:r w:rsidR="00284864" w:rsidRPr="006A4958">
        <w:rPr>
          <w:lang w:val="en-GB"/>
        </w:rPr>
        <w:t>5378.</w:t>
      </w:r>
    </w:p>
  </w:footnote>
  <w:footnote w:id="11">
    <w:p w:rsidR="00703516" w:rsidRPr="006A4958" w:rsidRDefault="00703516">
      <w:pPr>
        <w:pStyle w:val="DipnotMetni"/>
        <w:rPr>
          <w:lang w:val="en-GB"/>
        </w:rPr>
      </w:pPr>
      <w:r w:rsidRPr="006A4958">
        <w:rPr>
          <w:rStyle w:val="DipnotBavurusu"/>
          <w:lang w:val="en-GB"/>
        </w:rPr>
        <w:footnoteRef/>
      </w:r>
      <w:r w:rsidRPr="006A4958">
        <w:rPr>
          <w:lang w:val="en-GB"/>
        </w:rPr>
        <w:t xml:space="preserve"> Art. 34 of the Constitution </w:t>
      </w:r>
      <w:r w:rsidR="00EF31B4" w:rsidRPr="006A4958">
        <w:rPr>
          <w:lang w:val="en-GB"/>
        </w:rPr>
        <w:t xml:space="preserve">of Turkey </w:t>
      </w:r>
      <w:r w:rsidRPr="006A4958">
        <w:rPr>
          <w:lang w:val="en-GB"/>
        </w:rPr>
        <w:t>states: “</w:t>
      </w:r>
      <w:r w:rsidRPr="006A4958">
        <w:rPr>
          <w:i/>
          <w:lang w:val="en-GB"/>
        </w:rPr>
        <w:t>Everyone has the right to hold unarmed and peaceful meetings and demonstration marches without prior permission. The right to hold meetings and demonstration marches shall be restricted only by law on the grounds of national security, public order, prevention of commission of crime, protection of public health and public morals or the rights and freedoms of others. The formalities, conditions, and procedures to be applied in the exercise of the right to hold meetings and demonstration marches shall be prescribed by law</w:t>
      </w:r>
      <w:r w:rsidR="00D23C7E" w:rsidRPr="006A4958">
        <w:rPr>
          <w:i/>
          <w:lang w:val="en-GB"/>
        </w:rPr>
        <w:t>.</w:t>
      </w:r>
      <w:r w:rsidR="00D23C7E" w:rsidRPr="006A4958">
        <w:rPr>
          <w:lang w:val="en-GB"/>
        </w:rPr>
        <w:t>”</w:t>
      </w:r>
    </w:p>
  </w:footnote>
  <w:footnote w:id="12">
    <w:p w:rsidR="00C07888" w:rsidRPr="006A4958" w:rsidRDefault="00C07888" w:rsidP="00C07888">
      <w:pPr>
        <w:pStyle w:val="DipnotMetni"/>
        <w:rPr>
          <w:lang w:val="en-GB"/>
        </w:rPr>
      </w:pPr>
      <w:r w:rsidRPr="006A4958">
        <w:rPr>
          <w:rStyle w:val="DipnotBavurusu"/>
          <w:lang w:val="en-GB"/>
        </w:rPr>
        <w:footnoteRef/>
      </w:r>
      <w:r w:rsidRPr="006A4958">
        <w:rPr>
          <w:lang w:val="en-GB"/>
        </w:rPr>
        <w:t xml:space="preserve"> Law No. 2911 on Assemblies and Demonstrations.</w:t>
      </w:r>
    </w:p>
  </w:footnote>
  <w:footnote w:id="13">
    <w:p w:rsidR="007C0C29" w:rsidRPr="006A4958" w:rsidRDefault="007C0C29">
      <w:pPr>
        <w:pStyle w:val="DipnotMetni"/>
        <w:rPr>
          <w:lang w:val="en-GB"/>
        </w:rPr>
      </w:pPr>
      <w:r w:rsidRPr="006A4958">
        <w:rPr>
          <w:rStyle w:val="DipnotBavurusu"/>
          <w:lang w:val="en-GB"/>
        </w:rPr>
        <w:footnoteRef/>
      </w:r>
      <w:r w:rsidRPr="006A4958">
        <w:rPr>
          <w:lang w:val="en-GB"/>
        </w:rPr>
        <w:t xml:space="preserve"> Law No. 5442 on Provincial Administration, Law No. 2559 on </w:t>
      </w:r>
      <w:r w:rsidR="004469B3" w:rsidRPr="006A4958">
        <w:rPr>
          <w:lang w:val="en-GB"/>
        </w:rPr>
        <w:t>P</w:t>
      </w:r>
      <w:r w:rsidRPr="006A4958">
        <w:rPr>
          <w:lang w:val="en-GB"/>
        </w:rPr>
        <w:t xml:space="preserve">olice Duties and </w:t>
      </w:r>
      <w:r w:rsidR="004469B3" w:rsidRPr="006A4958">
        <w:rPr>
          <w:lang w:val="en-GB"/>
        </w:rPr>
        <w:t>Responsibilities,</w:t>
      </w:r>
      <w:r w:rsidRPr="006A4958">
        <w:rPr>
          <w:lang w:val="en-GB"/>
        </w:rPr>
        <w:t xml:space="preserve"> Law No. 2935 on State of Emergency and Law No. 5326</w:t>
      </w:r>
      <w:r w:rsidR="004469B3" w:rsidRPr="006A4958">
        <w:rPr>
          <w:lang w:val="en-GB"/>
        </w:rPr>
        <w:t xml:space="preserve"> on Misdemeanours</w:t>
      </w:r>
      <w:r w:rsidRPr="006A4958">
        <w:rPr>
          <w:lang w:val="en-GB"/>
        </w:rPr>
        <w:t>.</w:t>
      </w:r>
    </w:p>
  </w:footnote>
  <w:footnote w:id="14">
    <w:p w:rsidR="00A14AF3" w:rsidRPr="006A4958" w:rsidRDefault="00A14AF3">
      <w:pPr>
        <w:pStyle w:val="DipnotMetni"/>
        <w:rPr>
          <w:lang w:val="en-GB"/>
        </w:rPr>
      </w:pPr>
      <w:r w:rsidRPr="006A4958">
        <w:rPr>
          <w:rStyle w:val="DipnotBavurusu"/>
          <w:lang w:val="en-GB"/>
        </w:rPr>
        <w:footnoteRef/>
      </w:r>
      <w:r w:rsidRPr="006A4958">
        <w:rPr>
          <w:lang w:val="en-GB"/>
        </w:rPr>
        <w:t xml:space="preserve"> </w:t>
      </w:r>
      <w:r w:rsidR="00487900" w:rsidRPr="006A4958">
        <w:rPr>
          <w:lang w:val="en-GB"/>
        </w:rPr>
        <w:t>Law No. 5442 on Provincial Administration</w:t>
      </w:r>
      <w:r w:rsidR="00D92C2E" w:rsidRPr="006A4958">
        <w:rPr>
          <w:lang w:val="en-GB"/>
        </w:rPr>
        <w:t>.</w:t>
      </w:r>
    </w:p>
  </w:footnote>
  <w:footnote w:id="15">
    <w:p w:rsidR="00A14AF3" w:rsidRPr="006A4958" w:rsidRDefault="00A14AF3">
      <w:pPr>
        <w:pStyle w:val="DipnotMetni"/>
        <w:rPr>
          <w:lang w:val="en-GB"/>
        </w:rPr>
      </w:pPr>
      <w:r w:rsidRPr="006A4958">
        <w:rPr>
          <w:rStyle w:val="DipnotBavurusu"/>
          <w:lang w:val="en-GB"/>
        </w:rPr>
        <w:footnoteRef/>
      </w:r>
      <w:r w:rsidRPr="006A4958">
        <w:rPr>
          <w:lang w:val="en-GB"/>
        </w:rPr>
        <w:t xml:space="preserve"> </w:t>
      </w:r>
      <w:r w:rsidR="00487900" w:rsidRPr="006A4958">
        <w:rPr>
          <w:lang w:val="en-GB"/>
        </w:rPr>
        <w:t>2559 on Police Duties and Responsibilities</w:t>
      </w:r>
      <w:r w:rsidR="00D92C2E" w:rsidRPr="006A4958">
        <w:rPr>
          <w:lang w:val="en-GB"/>
        </w:rPr>
        <w:t>.</w:t>
      </w:r>
    </w:p>
  </w:footnote>
  <w:footnote w:id="16">
    <w:p w:rsidR="00672288" w:rsidRPr="006A4958" w:rsidRDefault="00672288">
      <w:pPr>
        <w:pStyle w:val="DipnotMetni"/>
        <w:rPr>
          <w:lang w:val="en-GB"/>
        </w:rPr>
      </w:pPr>
      <w:r w:rsidRPr="006A4958">
        <w:rPr>
          <w:rStyle w:val="DipnotBavurusu"/>
          <w:lang w:val="en-GB"/>
        </w:rPr>
        <w:footnoteRef/>
      </w:r>
      <w:r w:rsidRPr="006A4958">
        <w:rPr>
          <w:lang w:val="en-GB"/>
        </w:rPr>
        <w:t xml:space="preserve"> Association for Monitoring Equal Rights, Freedom of Assembly Monitoring Report (2017) and (2018)</w:t>
      </w:r>
      <w:r w:rsidR="00887ECA">
        <w:rPr>
          <w:lang w:val="en-GB"/>
        </w:rPr>
        <w:t>.</w:t>
      </w:r>
    </w:p>
  </w:footnote>
  <w:footnote w:id="17">
    <w:p w:rsidR="00AF2A88" w:rsidRPr="006A4958" w:rsidRDefault="00AF2A88">
      <w:pPr>
        <w:pStyle w:val="DipnotMetni"/>
        <w:rPr>
          <w:lang w:val="en-GB"/>
        </w:rPr>
      </w:pPr>
      <w:r w:rsidRPr="006A4958">
        <w:rPr>
          <w:rStyle w:val="DipnotBavurusu"/>
          <w:lang w:val="en-GB"/>
        </w:rPr>
        <w:footnoteRef/>
      </w:r>
      <w:r w:rsidRPr="006A4958">
        <w:rPr>
          <w:lang w:val="en-GB"/>
        </w:rPr>
        <w:t xml:space="preserve"> Law No. 4483 on Litigation of Civil Servants and Other Public Officials</w:t>
      </w:r>
      <w:r w:rsidR="00887ECA">
        <w:rPr>
          <w:lang w:val="en-GB"/>
        </w:rPr>
        <w:t>.</w:t>
      </w:r>
    </w:p>
  </w:footnote>
  <w:footnote w:id="18">
    <w:p w:rsidR="00073BF2" w:rsidRPr="006A4958" w:rsidRDefault="00073BF2">
      <w:pPr>
        <w:pStyle w:val="DipnotMetni"/>
        <w:rPr>
          <w:lang w:val="en-GB"/>
        </w:rPr>
      </w:pPr>
      <w:r w:rsidRPr="006A4958">
        <w:rPr>
          <w:rStyle w:val="DipnotBavurusu"/>
          <w:lang w:val="en-GB"/>
        </w:rPr>
        <w:footnoteRef/>
      </w:r>
      <w:r w:rsidRPr="006A4958">
        <w:rPr>
          <w:lang w:val="en-GB"/>
        </w:rPr>
        <w:t xml:space="preserve"> Law No. 5326 on Misdemeanours </w:t>
      </w:r>
    </w:p>
  </w:footnote>
  <w:footnote w:id="19">
    <w:p w:rsidR="00A41840" w:rsidRPr="006A4958" w:rsidRDefault="00A41840" w:rsidP="00A41840">
      <w:pPr>
        <w:pStyle w:val="DipnotMetni"/>
        <w:rPr>
          <w:lang w:val="en-GB"/>
        </w:rPr>
      </w:pPr>
      <w:r w:rsidRPr="006A4958">
        <w:rPr>
          <w:rStyle w:val="DipnotBavurusu"/>
          <w:lang w:val="en-GB"/>
        </w:rPr>
        <w:footnoteRef/>
      </w:r>
      <w:r w:rsidRPr="006A4958">
        <w:rPr>
          <w:lang w:val="en-GB"/>
        </w:rPr>
        <w:t xml:space="preserve"> </w:t>
      </w:r>
      <w:r w:rsidR="001078FA">
        <w:rPr>
          <w:lang w:val="en-GB"/>
        </w:rPr>
        <w:t xml:space="preserve">SEC </w:t>
      </w:r>
      <w:r w:rsidR="001078FA" w:rsidRPr="006A4958">
        <w:rPr>
          <w:lang w:val="en-GB"/>
        </w:rPr>
        <w:t xml:space="preserve">decision </w:t>
      </w:r>
      <w:r w:rsidR="001078FA">
        <w:rPr>
          <w:lang w:val="en-GB"/>
        </w:rPr>
        <w:t>N</w:t>
      </w:r>
      <w:r w:rsidR="001078FA" w:rsidRPr="006A4958">
        <w:rPr>
          <w:lang w:val="en-GB"/>
        </w:rPr>
        <w:t>o.</w:t>
      </w:r>
      <w:r w:rsidR="00772B5C" w:rsidRPr="006A4958">
        <w:rPr>
          <w:lang w:val="en-GB"/>
        </w:rPr>
        <w:t xml:space="preserve"> 3</w:t>
      </w:r>
      <w:r w:rsidR="001078FA">
        <w:rPr>
          <w:lang w:val="en-GB"/>
        </w:rPr>
        <w:t xml:space="preserve">, on </w:t>
      </w:r>
      <w:r w:rsidR="00772B5C" w:rsidRPr="006A4958">
        <w:rPr>
          <w:lang w:val="en-GB"/>
        </w:rPr>
        <w:t xml:space="preserve">02.01.2019 </w:t>
      </w:r>
      <w:r w:rsidR="001078FA">
        <w:rPr>
          <w:lang w:val="en-GB"/>
        </w:rPr>
        <w:t xml:space="preserve">provides that </w:t>
      </w:r>
      <w:r w:rsidR="00F41854" w:rsidRPr="006A4958">
        <w:rPr>
          <w:lang w:val="en-GB"/>
        </w:rPr>
        <w:t xml:space="preserve">mobile </w:t>
      </w:r>
      <w:r w:rsidRPr="006A4958">
        <w:rPr>
          <w:lang w:val="en-GB"/>
        </w:rPr>
        <w:t>ballot</w:t>
      </w:r>
      <w:r w:rsidR="00F41854" w:rsidRPr="006A4958">
        <w:rPr>
          <w:lang w:val="en-GB"/>
        </w:rPr>
        <w:t xml:space="preserve"> boxes</w:t>
      </w:r>
      <w:r w:rsidRPr="006A4958">
        <w:rPr>
          <w:lang w:val="en-GB"/>
        </w:rPr>
        <w:t xml:space="preserve"> </w:t>
      </w:r>
      <w:r w:rsidR="00C40FB5">
        <w:rPr>
          <w:lang w:val="en-GB"/>
        </w:rPr>
        <w:t xml:space="preserve">are used </w:t>
      </w:r>
      <w:r w:rsidRPr="006A4958">
        <w:rPr>
          <w:lang w:val="en-GB"/>
        </w:rPr>
        <w:t xml:space="preserve">only </w:t>
      </w:r>
      <w:r w:rsidR="00C40FB5">
        <w:rPr>
          <w:lang w:val="en-GB"/>
        </w:rPr>
        <w:t xml:space="preserve">for </w:t>
      </w:r>
      <w:r w:rsidRPr="006A4958">
        <w:rPr>
          <w:lang w:val="en-GB"/>
        </w:rPr>
        <w:t xml:space="preserve">patients and persons with disabilities living at provincial and district </w:t>
      </w:r>
      <w:r w:rsidR="008F23DB" w:rsidRPr="006A4958">
        <w:rPr>
          <w:lang w:val="en-GB"/>
        </w:rPr>
        <w:t>centres</w:t>
      </w:r>
      <w:r w:rsidRPr="006A4958">
        <w:rPr>
          <w:lang w:val="en-GB"/>
        </w:rPr>
        <w:t xml:space="preserve">, but not to those who are living at towns and villages, despite no geographic limitation </w:t>
      </w:r>
      <w:r w:rsidR="008F23DB" w:rsidRPr="006A4958">
        <w:rPr>
          <w:lang w:val="en-GB"/>
        </w:rPr>
        <w:t>being</w:t>
      </w:r>
      <w:r w:rsidRPr="006A4958">
        <w:rPr>
          <w:lang w:val="en-GB"/>
        </w:rPr>
        <w:t xml:space="preserve"> defined </w:t>
      </w:r>
      <w:r w:rsidR="008F23DB" w:rsidRPr="006A4958">
        <w:rPr>
          <w:lang w:val="en-GB"/>
        </w:rPr>
        <w:t>within the legislation.</w:t>
      </w:r>
    </w:p>
  </w:footnote>
  <w:footnote w:id="20">
    <w:p w:rsidR="00A41840" w:rsidRPr="006A4958" w:rsidRDefault="00A41840" w:rsidP="00A41840">
      <w:pPr>
        <w:pStyle w:val="DipnotMetni"/>
        <w:rPr>
          <w:lang w:val="en-GB"/>
        </w:rPr>
      </w:pPr>
      <w:r w:rsidRPr="006A4958">
        <w:rPr>
          <w:rStyle w:val="DipnotBavurusu"/>
          <w:lang w:val="en-GB"/>
        </w:rPr>
        <w:footnoteRef/>
      </w:r>
      <w:r w:rsidRPr="006A4958">
        <w:rPr>
          <w:lang w:val="en-GB"/>
        </w:rPr>
        <w:t xml:space="preserve"> </w:t>
      </w:r>
      <w:proofErr w:type="spellStart"/>
      <w:r w:rsidR="00A27DCC" w:rsidRPr="001078FA">
        <w:rPr>
          <w:i/>
          <w:iCs/>
          <w:lang w:val="en-GB"/>
        </w:rPr>
        <w:t>Söyler</w:t>
      </w:r>
      <w:proofErr w:type="spellEnd"/>
      <w:r w:rsidR="00A27DCC" w:rsidRPr="001078FA">
        <w:rPr>
          <w:i/>
          <w:iCs/>
          <w:lang w:val="en-GB"/>
        </w:rPr>
        <w:t xml:space="preserve"> v. Turkey</w:t>
      </w:r>
      <w:r w:rsidR="00A27DCC" w:rsidRPr="006A4958">
        <w:rPr>
          <w:lang w:val="en-GB"/>
        </w:rPr>
        <w:t xml:space="preserve">, App. no: 29411/07, Judgment of 17 September 2013. </w:t>
      </w:r>
    </w:p>
  </w:footnote>
  <w:footnote w:id="21">
    <w:p w:rsidR="00A41840" w:rsidRPr="006A4958" w:rsidRDefault="00A41840" w:rsidP="00A41840">
      <w:pPr>
        <w:pStyle w:val="DipnotMetni"/>
        <w:rPr>
          <w:lang w:val="en-GB"/>
        </w:rPr>
      </w:pPr>
      <w:r w:rsidRPr="006A4958">
        <w:rPr>
          <w:rStyle w:val="DipnotBavurusu"/>
          <w:lang w:val="en-GB"/>
        </w:rPr>
        <w:footnoteRef/>
      </w:r>
      <w:r w:rsidRPr="006A4958">
        <w:rPr>
          <w:lang w:val="en-GB"/>
        </w:rPr>
        <w:t xml:space="preserve"> According to the </w:t>
      </w:r>
      <w:r w:rsidR="009C0162">
        <w:rPr>
          <w:lang w:val="en-GB"/>
        </w:rPr>
        <w:t xml:space="preserve">SEC </w:t>
      </w:r>
      <w:r w:rsidRPr="006A4958">
        <w:rPr>
          <w:lang w:val="en-GB"/>
        </w:rPr>
        <w:t xml:space="preserve">decision </w:t>
      </w:r>
      <w:r w:rsidR="009C0162">
        <w:rPr>
          <w:lang w:val="en-GB"/>
        </w:rPr>
        <w:t>N</w:t>
      </w:r>
      <w:r w:rsidR="009057EC" w:rsidRPr="006A4958">
        <w:rPr>
          <w:lang w:val="en-GB"/>
        </w:rPr>
        <w:t xml:space="preserve">o. </w:t>
      </w:r>
      <w:r w:rsidRPr="006A4958">
        <w:rPr>
          <w:lang w:val="en-GB"/>
        </w:rPr>
        <w:t xml:space="preserve">1040, </w:t>
      </w:r>
      <w:r w:rsidR="009C0162">
        <w:rPr>
          <w:lang w:val="en-GB"/>
        </w:rPr>
        <w:t xml:space="preserve">on </w:t>
      </w:r>
      <w:r w:rsidRPr="006A4958">
        <w:rPr>
          <w:lang w:val="en-GB"/>
        </w:rPr>
        <w:t>27.05.2015</w:t>
      </w:r>
      <w:r w:rsidR="00CD76B3" w:rsidRPr="006A4958">
        <w:rPr>
          <w:lang w:val="en-GB"/>
        </w:rPr>
        <w:t>,</w:t>
      </w:r>
      <w:r w:rsidRPr="006A4958">
        <w:rPr>
          <w:lang w:val="en-GB"/>
        </w:rPr>
        <w:t xml:space="preserve"> </w:t>
      </w:r>
      <w:r w:rsidR="00F30BC4">
        <w:rPr>
          <w:lang w:val="en-GB"/>
        </w:rPr>
        <w:t>concerning an application where</w:t>
      </w:r>
      <w:r w:rsidR="00A870C2" w:rsidRPr="006A4958">
        <w:rPr>
          <w:lang w:val="en-GB"/>
        </w:rPr>
        <w:t xml:space="preserve"> the claimants are </w:t>
      </w:r>
      <w:r w:rsidRPr="006A4958">
        <w:rPr>
          <w:lang w:val="en-GB"/>
        </w:rPr>
        <w:t xml:space="preserve">two Kurdish women who </w:t>
      </w:r>
      <w:r w:rsidR="00A870C2" w:rsidRPr="006A4958">
        <w:rPr>
          <w:lang w:val="en-GB"/>
        </w:rPr>
        <w:t xml:space="preserve">do not speak </w:t>
      </w:r>
      <w:r w:rsidRPr="006A4958">
        <w:rPr>
          <w:lang w:val="en-GB"/>
        </w:rPr>
        <w:t>Turkish</w:t>
      </w:r>
      <w:r w:rsidR="00F30BC4">
        <w:rPr>
          <w:lang w:val="en-GB"/>
        </w:rPr>
        <w:t xml:space="preserve">; SEC decided that </w:t>
      </w:r>
      <w:r w:rsidRPr="006A4958">
        <w:rPr>
          <w:lang w:val="en-GB"/>
        </w:rPr>
        <w:t xml:space="preserve">necessary information on voting process would be given to non-Turkish speakers through support of translator at ballot box. However, this decision has never been implemented. Our </w:t>
      </w:r>
      <w:r w:rsidR="00C57867">
        <w:rPr>
          <w:lang w:val="en-GB"/>
        </w:rPr>
        <w:t>A</w:t>
      </w:r>
      <w:r w:rsidRPr="006A4958">
        <w:rPr>
          <w:lang w:val="en-GB"/>
        </w:rPr>
        <w:t xml:space="preserve">ssociation's requests for the implementation of this decision at elections and </w:t>
      </w:r>
      <w:r w:rsidR="009057EC" w:rsidRPr="006A4958">
        <w:rPr>
          <w:lang w:val="en-GB"/>
        </w:rPr>
        <w:t>referendum</w:t>
      </w:r>
      <w:r w:rsidRPr="006A4958">
        <w:rPr>
          <w:lang w:val="en-GB"/>
        </w:rPr>
        <w:t xml:space="preserve"> took place at 2017, 2018 and 2019</w:t>
      </w:r>
      <w:r w:rsidR="00C57867">
        <w:rPr>
          <w:lang w:val="en-GB"/>
        </w:rPr>
        <w:t>, they</w:t>
      </w:r>
      <w:r w:rsidRPr="006A4958">
        <w:rPr>
          <w:lang w:val="en-GB"/>
        </w:rPr>
        <w:t xml:space="preserve"> have </w:t>
      </w:r>
      <w:r w:rsidR="00C57867">
        <w:rPr>
          <w:lang w:val="en-GB"/>
        </w:rPr>
        <w:t xml:space="preserve">all </w:t>
      </w:r>
      <w:r w:rsidRPr="006A4958">
        <w:rPr>
          <w:lang w:val="en-GB"/>
        </w:rPr>
        <w:t xml:space="preserve">been rejected by the </w:t>
      </w:r>
      <w:r w:rsidR="00561D0D">
        <w:rPr>
          <w:lang w:val="en-GB"/>
        </w:rPr>
        <w:t>SEC</w:t>
      </w:r>
      <w:r w:rsidRPr="006A4958">
        <w:rPr>
          <w:lang w:val="en-GB"/>
        </w:rPr>
        <w:t>.</w:t>
      </w:r>
    </w:p>
  </w:footnote>
  <w:footnote w:id="22">
    <w:p w:rsidR="00A41840" w:rsidRPr="006A4958" w:rsidRDefault="00A41840" w:rsidP="00A41840">
      <w:pPr>
        <w:pStyle w:val="DipnotMetni"/>
        <w:rPr>
          <w:color w:val="0563C1" w:themeColor="hyperlink"/>
          <w:u w:val="single"/>
          <w:lang w:val="en-GB"/>
        </w:rPr>
      </w:pPr>
      <w:r w:rsidRPr="006A4958">
        <w:rPr>
          <w:rStyle w:val="DipnotBavurusu"/>
          <w:lang w:val="en-GB"/>
        </w:rPr>
        <w:footnoteRef/>
      </w:r>
      <w:r w:rsidRPr="006A4958">
        <w:rPr>
          <w:lang w:val="en-GB"/>
        </w:rPr>
        <w:t xml:space="preserve"> The </w:t>
      </w:r>
      <w:r w:rsidR="00E47690">
        <w:rPr>
          <w:lang w:val="en-GB"/>
        </w:rPr>
        <w:t>SEC</w:t>
      </w:r>
      <w:r w:rsidRPr="006A4958">
        <w:rPr>
          <w:lang w:val="en-GB"/>
        </w:rPr>
        <w:t xml:space="preserve"> has taken a decision of accepting a request made by a CSO on use of ballot template paper, while rejecting its request that expenses of the implementation should be covered by the </w:t>
      </w:r>
      <w:r w:rsidR="005E4DC8">
        <w:rPr>
          <w:lang w:val="en-GB"/>
        </w:rPr>
        <w:t>SEC</w:t>
      </w:r>
      <w:r w:rsidRPr="006A4958">
        <w:rPr>
          <w:lang w:val="en-GB"/>
        </w:rPr>
        <w:t xml:space="preserve">. </w:t>
      </w:r>
      <w:hyperlink r:id="rId1" w:history="1">
        <w:r w:rsidRPr="006A4958">
          <w:rPr>
            <w:rStyle w:val="Kpr"/>
            <w:lang w:val="en-GB"/>
          </w:rPr>
          <w:t>http://ysk.gov.tr/doc/karar/dosya/77913/2018-1103.pdf</w:t>
        </w:r>
      </w:hyperlink>
    </w:p>
  </w:footnote>
  <w:footnote w:id="23">
    <w:p w:rsidR="00A41840" w:rsidRPr="006A4958" w:rsidRDefault="00A41840" w:rsidP="00A41840">
      <w:pPr>
        <w:pStyle w:val="DipnotMetni"/>
        <w:rPr>
          <w:lang w:val="en-GB"/>
        </w:rPr>
      </w:pPr>
      <w:r w:rsidRPr="006A4958">
        <w:rPr>
          <w:rStyle w:val="DipnotBavurusu"/>
          <w:lang w:val="en-GB"/>
        </w:rPr>
        <w:footnoteRef/>
      </w:r>
      <w:r w:rsidRPr="006A4958">
        <w:rPr>
          <w:lang w:val="en-GB"/>
        </w:rPr>
        <w:t xml:space="preserve"> Ten different electoral monitoring accreditation requests made by our association since 2011, were </w:t>
      </w:r>
      <w:r w:rsidR="00E17503">
        <w:rPr>
          <w:lang w:val="en-GB"/>
        </w:rPr>
        <w:t xml:space="preserve">all </w:t>
      </w:r>
      <w:r w:rsidRPr="006A4958">
        <w:rPr>
          <w:lang w:val="en-GB"/>
        </w:rPr>
        <w:t xml:space="preserve">rejected by the </w:t>
      </w:r>
      <w:r w:rsidR="00C94AE1">
        <w:rPr>
          <w:lang w:val="en-GB"/>
        </w:rPr>
        <w:t>SEC</w:t>
      </w:r>
      <w:r w:rsidRPr="006A4958">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0035"/>
    <w:multiLevelType w:val="hybridMultilevel"/>
    <w:tmpl w:val="EE12B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9C5B40"/>
    <w:multiLevelType w:val="hybridMultilevel"/>
    <w:tmpl w:val="D7EA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A25FF"/>
    <w:multiLevelType w:val="hybridMultilevel"/>
    <w:tmpl w:val="8F543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9A4384"/>
    <w:multiLevelType w:val="hybridMultilevel"/>
    <w:tmpl w:val="C5E8F6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C27BC8"/>
    <w:multiLevelType w:val="hybridMultilevel"/>
    <w:tmpl w:val="B9965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D2345A"/>
    <w:multiLevelType w:val="hybridMultilevel"/>
    <w:tmpl w:val="6F860AEC"/>
    <w:lvl w:ilvl="0" w:tplc="71C4C78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2703B4"/>
    <w:multiLevelType w:val="multilevel"/>
    <w:tmpl w:val="82DA6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4"/>
    <w:rsid w:val="00002264"/>
    <w:rsid w:val="000022D9"/>
    <w:rsid w:val="0000398C"/>
    <w:rsid w:val="00003EAC"/>
    <w:rsid w:val="00004788"/>
    <w:rsid w:val="000236BE"/>
    <w:rsid w:val="00025C0B"/>
    <w:rsid w:val="00030154"/>
    <w:rsid w:val="0003188D"/>
    <w:rsid w:val="0003334D"/>
    <w:rsid w:val="00035E82"/>
    <w:rsid w:val="00036659"/>
    <w:rsid w:val="00040F0D"/>
    <w:rsid w:val="000445F5"/>
    <w:rsid w:val="000448F1"/>
    <w:rsid w:val="00046725"/>
    <w:rsid w:val="00047A60"/>
    <w:rsid w:val="0005174C"/>
    <w:rsid w:val="00051CCE"/>
    <w:rsid w:val="000525B5"/>
    <w:rsid w:val="00063C2F"/>
    <w:rsid w:val="00063D4B"/>
    <w:rsid w:val="00064BEF"/>
    <w:rsid w:val="00066C0C"/>
    <w:rsid w:val="00073BF2"/>
    <w:rsid w:val="00074EAF"/>
    <w:rsid w:val="00085880"/>
    <w:rsid w:val="00090360"/>
    <w:rsid w:val="000A43E1"/>
    <w:rsid w:val="000A4A28"/>
    <w:rsid w:val="000A721D"/>
    <w:rsid w:val="000B3F82"/>
    <w:rsid w:val="000B679D"/>
    <w:rsid w:val="000B6AB2"/>
    <w:rsid w:val="000C4E9E"/>
    <w:rsid w:val="000D1A66"/>
    <w:rsid w:val="000D1C64"/>
    <w:rsid w:val="000D4BB8"/>
    <w:rsid w:val="000E7164"/>
    <w:rsid w:val="000E7AD2"/>
    <w:rsid w:val="000F394E"/>
    <w:rsid w:val="000F473A"/>
    <w:rsid w:val="000F6A1B"/>
    <w:rsid w:val="000F6BE7"/>
    <w:rsid w:val="001004AB"/>
    <w:rsid w:val="00100A99"/>
    <w:rsid w:val="00102720"/>
    <w:rsid w:val="00106322"/>
    <w:rsid w:val="001078FA"/>
    <w:rsid w:val="00114FA5"/>
    <w:rsid w:val="00121308"/>
    <w:rsid w:val="00123652"/>
    <w:rsid w:val="001244E2"/>
    <w:rsid w:val="00125D9D"/>
    <w:rsid w:val="0012710A"/>
    <w:rsid w:val="00130C0A"/>
    <w:rsid w:val="001319A5"/>
    <w:rsid w:val="001360E5"/>
    <w:rsid w:val="00137C5E"/>
    <w:rsid w:val="001413AC"/>
    <w:rsid w:val="00154808"/>
    <w:rsid w:val="001560DD"/>
    <w:rsid w:val="00164681"/>
    <w:rsid w:val="00167193"/>
    <w:rsid w:val="00185A92"/>
    <w:rsid w:val="0019464A"/>
    <w:rsid w:val="00196874"/>
    <w:rsid w:val="001A2264"/>
    <w:rsid w:val="001A51C3"/>
    <w:rsid w:val="001A6DE2"/>
    <w:rsid w:val="001A75D5"/>
    <w:rsid w:val="001B116E"/>
    <w:rsid w:val="001B4A41"/>
    <w:rsid w:val="001C1390"/>
    <w:rsid w:val="001C3414"/>
    <w:rsid w:val="001E303D"/>
    <w:rsid w:val="001E64FD"/>
    <w:rsid w:val="001E74B8"/>
    <w:rsid w:val="001F47C8"/>
    <w:rsid w:val="001F5804"/>
    <w:rsid w:val="002040DF"/>
    <w:rsid w:val="002053C7"/>
    <w:rsid w:val="002060AE"/>
    <w:rsid w:val="00207129"/>
    <w:rsid w:val="002122B2"/>
    <w:rsid w:val="00213A3E"/>
    <w:rsid w:val="00215677"/>
    <w:rsid w:val="002205E2"/>
    <w:rsid w:val="002311F2"/>
    <w:rsid w:val="00233517"/>
    <w:rsid w:val="00237892"/>
    <w:rsid w:val="0024151D"/>
    <w:rsid w:val="00244F64"/>
    <w:rsid w:val="002528BC"/>
    <w:rsid w:val="0025607D"/>
    <w:rsid w:val="00256B53"/>
    <w:rsid w:val="002634E1"/>
    <w:rsid w:val="002671C3"/>
    <w:rsid w:val="002678E8"/>
    <w:rsid w:val="00267E88"/>
    <w:rsid w:val="00270B3D"/>
    <w:rsid w:val="00270F22"/>
    <w:rsid w:val="00272306"/>
    <w:rsid w:val="00273877"/>
    <w:rsid w:val="00275BA5"/>
    <w:rsid w:val="002824FC"/>
    <w:rsid w:val="00284864"/>
    <w:rsid w:val="0029000B"/>
    <w:rsid w:val="002956D8"/>
    <w:rsid w:val="002A3BE8"/>
    <w:rsid w:val="002A7C73"/>
    <w:rsid w:val="002B327D"/>
    <w:rsid w:val="002B672E"/>
    <w:rsid w:val="002B7F74"/>
    <w:rsid w:val="002C7A3F"/>
    <w:rsid w:val="002D5C64"/>
    <w:rsid w:val="002D60A3"/>
    <w:rsid w:val="002E1C53"/>
    <w:rsid w:val="002E32D5"/>
    <w:rsid w:val="002E3D6B"/>
    <w:rsid w:val="002F1794"/>
    <w:rsid w:val="002F50AE"/>
    <w:rsid w:val="002F559F"/>
    <w:rsid w:val="002F6CD7"/>
    <w:rsid w:val="002F7F81"/>
    <w:rsid w:val="003021B6"/>
    <w:rsid w:val="00313A0C"/>
    <w:rsid w:val="00314A9E"/>
    <w:rsid w:val="00316823"/>
    <w:rsid w:val="003179B2"/>
    <w:rsid w:val="00317D0F"/>
    <w:rsid w:val="0032001E"/>
    <w:rsid w:val="00322510"/>
    <w:rsid w:val="003246FB"/>
    <w:rsid w:val="00327C8E"/>
    <w:rsid w:val="00331894"/>
    <w:rsid w:val="00332AF0"/>
    <w:rsid w:val="003368B0"/>
    <w:rsid w:val="00340AF6"/>
    <w:rsid w:val="003425F6"/>
    <w:rsid w:val="00343F69"/>
    <w:rsid w:val="00345507"/>
    <w:rsid w:val="003462A7"/>
    <w:rsid w:val="00346DF0"/>
    <w:rsid w:val="00350044"/>
    <w:rsid w:val="00350405"/>
    <w:rsid w:val="00360A48"/>
    <w:rsid w:val="0036203E"/>
    <w:rsid w:val="0036506C"/>
    <w:rsid w:val="003661B0"/>
    <w:rsid w:val="00370DAE"/>
    <w:rsid w:val="00370DFF"/>
    <w:rsid w:val="00383AB1"/>
    <w:rsid w:val="003869A3"/>
    <w:rsid w:val="003971E5"/>
    <w:rsid w:val="00397E70"/>
    <w:rsid w:val="003B60D4"/>
    <w:rsid w:val="003B6110"/>
    <w:rsid w:val="003C0A72"/>
    <w:rsid w:val="003C5640"/>
    <w:rsid w:val="003C604E"/>
    <w:rsid w:val="003C668F"/>
    <w:rsid w:val="003D15D7"/>
    <w:rsid w:val="003D22E7"/>
    <w:rsid w:val="003E08A0"/>
    <w:rsid w:val="003E3378"/>
    <w:rsid w:val="003E75DB"/>
    <w:rsid w:val="003F6415"/>
    <w:rsid w:val="004058F6"/>
    <w:rsid w:val="00407EE5"/>
    <w:rsid w:val="00410F3A"/>
    <w:rsid w:val="004147D9"/>
    <w:rsid w:val="0041684A"/>
    <w:rsid w:val="00431373"/>
    <w:rsid w:val="00440076"/>
    <w:rsid w:val="0044234E"/>
    <w:rsid w:val="004440D2"/>
    <w:rsid w:val="004469B3"/>
    <w:rsid w:val="0045338C"/>
    <w:rsid w:val="00455187"/>
    <w:rsid w:val="00463380"/>
    <w:rsid w:val="00474EEA"/>
    <w:rsid w:val="0048032C"/>
    <w:rsid w:val="00481012"/>
    <w:rsid w:val="00487900"/>
    <w:rsid w:val="004953A8"/>
    <w:rsid w:val="004A53A6"/>
    <w:rsid w:val="004A57E9"/>
    <w:rsid w:val="004A7990"/>
    <w:rsid w:val="004C0104"/>
    <w:rsid w:val="004C4FE7"/>
    <w:rsid w:val="004C5E23"/>
    <w:rsid w:val="004D191F"/>
    <w:rsid w:val="004D7BE4"/>
    <w:rsid w:val="004E25FD"/>
    <w:rsid w:val="004E64E7"/>
    <w:rsid w:val="004F0FA1"/>
    <w:rsid w:val="004F196B"/>
    <w:rsid w:val="004F1B7F"/>
    <w:rsid w:val="004F5C6C"/>
    <w:rsid w:val="004F7C01"/>
    <w:rsid w:val="00503309"/>
    <w:rsid w:val="00504069"/>
    <w:rsid w:val="00510543"/>
    <w:rsid w:val="00512BFC"/>
    <w:rsid w:val="005164E9"/>
    <w:rsid w:val="0052132A"/>
    <w:rsid w:val="00521FD1"/>
    <w:rsid w:val="00531FA6"/>
    <w:rsid w:val="0053491A"/>
    <w:rsid w:val="00537AA5"/>
    <w:rsid w:val="00537CC0"/>
    <w:rsid w:val="005415D9"/>
    <w:rsid w:val="00542693"/>
    <w:rsid w:val="005426B7"/>
    <w:rsid w:val="005432CB"/>
    <w:rsid w:val="00543633"/>
    <w:rsid w:val="00547059"/>
    <w:rsid w:val="00555BFF"/>
    <w:rsid w:val="00561D0D"/>
    <w:rsid w:val="00562D56"/>
    <w:rsid w:val="00571E80"/>
    <w:rsid w:val="0058326E"/>
    <w:rsid w:val="00585D3A"/>
    <w:rsid w:val="00586B2C"/>
    <w:rsid w:val="0059276A"/>
    <w:rsid w:val="00592D4D"/>
    <w:rsid w:val="00594408"/>
    <w:rsid w:val="00595008"/>
    <w:rsid w:val="00595AA5"/>
    <w:rsid w:val="00595E2B"/>
    <w:rsid w:val="0059782C"/>
    <w:rsid w:val="005A0231"/>
    <w:rsid w:val="005B2B48"/>
    <w:rsid w:val="005B7E47"/>
    <w:rsid w:val="005D1E24"/>
    <w:rsid w:val="005D2E2F"/>
    <w:rsid w:val="005D4367"/>
    <w:rsid w:val="005D60C9"/>
    <w:rsid w:val="005E3227"/>
    <w:rsid w:val="005E4DC8"/>
    <w:rsid w:val="005F3258"/>
    <w:rsid w:val="005F3825"/>
    <w:rsid w:val="005F6733"/>
    <w:rsid w:val="005F6BEE"/>
    <w:rsid w:val="00625C06"/>
    <w:rsid w:val="00627415"/>
    <w:rsid w:val="00634B49"/>
    <w:rsid w:val="0064071F"/>
    <w:rsid w:val="00643320"/>
    <w:rsid w:val="00645236"/>
    <w:rsid w:val="00647887"/>
    <w:rsid w:val="00672288"/>
    <w:rsid w:val="006762CE"/>
    <w:rsid w:val="0068714F"/>
    <w:rsid w:val="0069318D"/>
    <w:rsid w:val="006932F9"/>
    <w:rsid w:val="006A2177"/>
    <w:rsid w:val="006A4958"/>
    <w:rsid w:val="006A49EC"/>
    <w:rsid w:val="006A6E7F"/>
    <w:rsid w:val="006B2409"/>
    <w:rsid w:val="006B4237"/>
    <w:rsid w:val="006C01FD"/>
    <w:rsid w:val="006C0B5A"/>
    <w:rsid w:val="006C4671"/>
    <w:rsid w:val="006D0BF1"/>
    <w:rsid w:val="006D1E55"/>
    <w:rsid w:val="006E2478"/>
    <w:rsid w:val="006E58F2"/>
    <w:rsid w:val="006E7C89"/>
    <w:rsid w:val="006F0F09"/>
    <w:rsid w:val="006F7F47"/>
    <w:rsid w:val="00702206"/>
    <w:rsid w:val="00703516"/>
    <w:rsid w:val="00705D32"/>
    <w:rsid w:val="00707D62"/>
    <w:rsid w:val="00713C0F"/>
    <w:rsid w:val="00713C31"/>
    <w:rsid w:val="00714F76"/>
    <w:rsid w:val="00717A0F"/>
    <w:rsid w:val="007324BC"/>
    <w:rsid w:val="00732AC3"/>
    <w:rsid w:val="00735568"/>
    <w:rsid w:val="0073563E"/>
    <w:rsid w:val="00743606"/>
    <w:rsid w:val="00744565"/>
    <w:rsid w:val="00745886"/>
    <w:rsid w:val="00745EE8"/>
    <w:rsid w:val="00747F6C"/>
    <w:rsid w:val="00754AD1"/>
    <w:rsid w:val="00761E56"/>
    <w:rsid w:val="00764C54"/>
    <w:rsid w:val="00772B5C"/>
    <w:rsid w:val="007731EB"/>
    <w:rsid w:val="00777446"/>
    <w:rsid w:val="0079419D"/>
    <w:rsid w:val="00794D5C"/>
    <w:rsid w:val="00796544"/>
    <w:rsid w:val="00797998"/>
    <w:rsid w:val="007A7D2A"/>
    <w:rsid w:val="007B05FF"/>
    <w:rsid w:val="007B22FF"/>
    <w:rsid w:val="007B7A3A"/>
    <w:rsid w:val="007C0C29"/>
    <w:rsid w:val="007C1C9B"/>
    <w:rsid w:val="007C5324"/>
    <w:rsid w:val="007C69AD"/>
    <w:rsid w:val="007F110A"/>
    <w:rsid w:val="007F1CE8"/>
    <w:rsid w:val="007F323F"/>
    <w:rsid w:val="0080264C"/>
    <w:rsid w:val="0080273F"/>
    <w:rsid w:val="00804F50"/>
    <w:rsid w:val="0080516C"/>
    <w:rsid w:val="00805AE5"/>
    <w:rsid w:val="00810B7A"/>
    <w:rsid w:val="00810F67"/>
    <w:rsid w:val="00813F59"/>
    <w:rsid w:val="00817133"/>
    <w:rsid w:val="00827CB8"/>
    <w:rsid w:val="008318A0"/>
    <w:rsid w:val="00832B1E"/>
    <w:rsid w:val="00835062"/>
    <w:rsid w:val="0083636C"/>
    <w:rsid w:val="00842031"/>
    <w:rsid w:val="00846C2B"/>
    <w:rsid w:val="0085002A"/>
    <w:rsid w:val="008515D0"/>
    <w:rsid w:val="00854316"/>
    <w:rsid w:val="008600BC"/>
    <w:rsid w:val="00861929"/>
    <w:rsid w:val="00865FBC"/>
    <w:rsid w:val="0086615D"/>
    <w:rsid w:val="008713BB"/>
    <w:rsid w:val="00883497"/>
    <w:rsid w:val="00887ECA"/>
    <w:rsid w:val="00896210"/>
    <w:rsid w:val="00896847"/>
    <w:rsid w:val="00897D06"/>
    <w:rsid w:val="008A5B1D"/>
    <w:rsid w:val="008A6A4E"/>
    <w:rsid w:val="008A7C5F"/>
    <w:rsid w:val="008B4D80"/>
    <w:rsid w:val="008C05EA"/>
    <w:rsid w:val="008C549F"/>
    <w:rsid w:val="008D1CEC"/>
    <w:rsid w:val="008D358A"/>
    <w:rsid w:val="008E06CD"/>
    <w:rsid w:val="008E6FB9"/>
    <w:rsid w:val="008F16A9"/>
    <w:rsid w:val="008F1C07"/>
    <w:rsid w:val="008F23DB"/>
    <w:rsid w:val="008F6E35"/>
    <w:rsid w:val="00902A2E"/>
    <w:rsid w:val="00903327"/>
    <w:rsid w:val="009057EC"/>
    <w:rsid w:val="00916F7A"/>
    <w:rsid w:val="009309DC"/>
    <w:rsid w:val="00933C7E"/>
    <w:rsid w:val="00934585"/>
    <w:rsid w:val="00936A7D"/>
    <w:rsid w:val="009379E8"/>
    <w:rsid w:val="00941352"/>
    <w:rsid w:val="00944BF8"/>
    <w:rsid w:val="00945538"/>
    <w:rsid w:val="009463BF"/>
    <w:rsid w:val="009464C8"/>
    <w:rsid w:val="00952176"/>
    <w:rsid w:val="0095273B"/>
    <w:rsid w:val="009544A0"/>
    <w:rsid w:val="00967368"/>
    <w:rsid w:val="0097341C"/>
    <w:rsid w:val="00974499"/>
    <w:rsid w:val="00977E7E"/>
    <w:rsid w:val="00990421"/>
    <w:rsid w:val="00994083"/>
    <w:rsid w:val="009A2E6D"/>
    <w:rsid w:val="009A5A6E"/>
    <w:rsid w:val="009B1543"/>
    <w:rsid w:val="009B19A5"/>
    <w:rsid w:val="009B584D"/>
    <w:rsid w:val="009B6E5D"/>
    <w:rsid w:val="009B79B1"/>
    <w:rsid w:val="009B7D9C"/>
    <w:rsid w:val="009C0162"/>
    <w:rsid w:val="009C0AA0"/>
    <w:rsid w:val="009C0EB0"/>
    <w:rsid w:val="009C7D4E"/>
    <w:rsid w:val="009D17FD"/>
    <w:rsid w:val="009E1605"/>
    <w:rsid w:val="009E43B4"/>
    <w:rsid w:val="009E5161"/>
    <w:rsid w:val="009F0D0E"/>
    <w:rsid w:val="009F1E53"/>
    <w:rsid w:val="00A05CDF"/>
    <w:rsid w:val="00A10215"/>
    <w:rsid w:val="00A14AF3"/>
    <w:rsid w:val="00A17843"/>
    <w:rsid w:val="00A21D67"/>
    <w:rsid w:val="00A2326A"/>
    <w:rsid w:val="00A27DCC"/>
    <w:rsid w:val="00A3023A"/>
    <w:rsid w:val="00A315CC"/>
    <w:rsid w:val="00A32DCF"/>
    <w:rsid w:val="00A35255"/>
    <w:rsid w:val="00A37697"/>
    <w:rsid w:val="00A41840"/>
    <w:rsid w:val="00A44416"/>
    <w:rsid w:val="00A44DDF"/>
    <w:rsid w:val="00A61C80"/>
    <w:rsid w:val="00A641F4"/>
    <w:rsid w:val="00A65926"/>
    <w:rsid w:val="00A65E75"/>
    <w:rsid w:val="00A7694E"/>
    <w:rsid w:val="00A80127"/>
    <w:rsid w:val="00A80E40"/>
    <w:rsid w:val="00A8304F"/>
    <w:rsid w:val="00A8412F"/>
    <w:rsid w:val="00A851D3"/>
    <w:rsid w:val="00A870C2"/>
    <w:rsid w:val="00A87CE1"/>
    <w:rsid w:val="00A9376C"/>
    <w:rsid w:val="00A9707B"/>
    <w:rsid w:val="00AA0545"/>
    <w:rsid w:val="00AA0E58"/>
    <w:rsid w:val="00AA3AE3"/>
    <w:rsid w:val="00AA57A0"/>
    <w:rsid w:val="00AB2F3B"/>
    <w:rsid w:val="00AB757C"/>
    <w:rsid w:val="00AD341B"/>
    <w:rsid w:val="00AD3863"/>
    <w:rsid w:val="00AE1F27"/>
    <w:rsid w:val="00AE7C9A"/>
    <w:rsid w:val="00AF2A88"/>
    <w:rsid w:val="00AF3908"/>
    <w:rsid w:val="00B0053E"/>
    <w:rsid w:val="00B13BE1"/>
    <w:rsid w:val="00B17905"/>
    <w:rsid w:val="00B202C7"/>
    <w:rsid w:val="00B219F8"/>
    <w:rsid w:val="00B22524"/>
    <w:rsid w:val="00B24AA5"/>
    <w:rsid w:val="00B31039"/>
    <w:rsid w:val="00B345D3"/>
    <w:rsid w:val="00B36CF6"/>
    <w:rsid w:val="00B36E3E"/>
    <w:rsid w:val="00B43B08"/>
    <w:rsid w:val="00B44754"/>
    <w:rsid w:val="00B451F9"/>
    <w:rsid w:val="00B45F8D"/>
    <w:rsid w:val="00B50C52"/>
    <w:rsid w:val="00B56EFE"/>
    <w:rsid w:val="00B60F4B"/>
    <w:rsid w:val="00B618D1"/>
    <w:rsid w:val="00B63DE5"/>
    <w:rsid w:val="00B64D59"/>
    <w:rsid w:val="00B6563F"/>
    <w:rsid w:val="00B75317"/>
    <w:rsid w:val="00B826D8"/>
    <w:rsid w:val="00B916FD"/>
    <w:rsid w:val="00B92EE1"/>
    <w:rsid w:val="00B95446"/>
    <w:rsid w:val="00B9585F"/>
    <w:rsid w:val="00BA030C"/>
    <w:rsid w:val="00BA44A5"/>
    <w:rsid w:val="00BC1017"/>
    <w:rsid w:val="00BC2C1D"/>
    <w:rsid w:val="00BC4481"/>
    <w:rsid w:val="00BC6291"/>
    <w:rsid w:val="00BE0F37"/>
    <w:rsid w:val="00BE1794"/>
    <w:rsid w:val="00BE34B0"/>
    <w:rsid w:val="00BE7C6B"/>
    <w:rsid w:val="00BF2586"/>
    <w:rsid w:val="00C00807"/>
    <w:rsid w:val="00C020EF"/>
    <w:rsid w:val="00C036EE"/>
    <w:rsid w:val="00C03BAD"/>
    <w:rsid w:val="00C043E3"/>
    <w:rsid w:val="00C059EB"/>
    <w:rsid w:val="00C06FC9"/>
    <w:rsid w:val="00C07888"/>
    <w:rsid w:val="00C15034"/>
    <w:rsid w:val="00C22E07"/>
    <w:rsid w:val="00C23AA8"/>
    <w:rsid w:val="00C260E9"/>
    <w:rsid w:val="00C31E3A"/>
    <w:rsid w:val="00C331E4"/>
    <w:rsid w:val="00C36089"/>
    <w:rsid w:val="00C36DFB"/>
    <w:rsid w:val="00C37845"/>
    <w:rsid w:val="00C40FB5"/>
    <w:rsid w:val="00C57867"/>
    <w:rsid w:val="00C74000"/>
    <w:rsid w:val="00C84254"/>
    <w:rsid w:val="00C85ECB"/>
    <w:rsid w:val="00C87963"/>
    <w:rsid w:val="00C94AE1"/>
    <w:rsid w:val="00C95A50"/>
    <w:rsid w:val="00C973F4"/>
    <w:rsid w:val="00C97E46"/>
    <w:rsid w:val="00CA1A53"/>
    <w:rsid w:val="00CA27A5"/>
    <w:rsid w:val="00CA3762"/>
    <w:rsid w:val="00CB0B2F"/>
    <w:rsid w:val="00CB1076"/>
    <w:rsid w:val="00CB2680"/>
    <w:rsid w:val="00CB4A3E"/>
    <w:rsid w:val="00CC374E"/>
    <w:rsid w:val="00CC4DCD"/>
    <w:rsid w:val="00CD76B3"/>
    <w:rsid w:val="00CE49BF"/>
    <w:rsid w:val="00CF23F7"/>
    <w:rsid w:val="00CF2BCB"/>
    <w:rsid w:val="00D1023D"/>
    <w:rsid w:val="00D14015"/>
    <w:rsid w:val="00D165AD"/>
    <w:rsid w:val="00D23C7E"/>
    <w:rsid w:val="00D35DFB"/>
    <w:rsid w:val="00D44CB9"/>
    <w:rsid w:val="00D622D5"/>
    <w:rsid w:val="00D651F8"/>
    <w:rsid w:val="00D70D57"/>
    <w:rsid w:val="00D72A1D"/>
    <w:rsid w:val="00D867E6"/>
    <w:rsid w:val="00D87E7D"/>
    <w:rsid w:val="00D90538"/>
    <w:rsid w:val="00D92C2E"/>
    <w:rsid w:val="00D94D67"/>
    <w:rsid w:val="00D95972"/>
    <w:rsid w:val="00D95EBF"/>
    <w:rsid w:val="00DC116D"/>
    <w:rsid w:val="00DC352D"/>
    <w:rsid w:val="00DD6348"/>
    <w:rsid w:val="00DE1C4F"/>
    <w:rsid w:val="00DF0226"/>
    <w:rsid w:val="00DF087D"/>
    <w:rsid w:val="00DF71DE"/>
    <w:rsid w:val="00E0039D"/>
    <w:rsid w:val="00E0287A"/>
    <w:rsid w:val="00E1112A"/>
    <w:rsid w:val="00E114A6"/>
    <w:rsid w:val="00E127A6"/>
    <w:rsid w:val="00E1324A"/>
    <w:rsid w:val="00E159CB"/>
    <w:rsid w:val="00E17503"/>
    <w:rsid w:val="00E25841"/>
    <w:rsid w:val="00E317B0"/>
    <w:rsid w:val="00E34380"/>
    <w:rsid w:val="00E350EC"/>
    <w:rsid w:val="00E42162"/>
    <w:rsid w:val="00E446E1"/>
    <w:rsid w:val="00E456BC"/>
    <w:rsid w:val="00E45E30"/>
    <w:rsid w:val="00E47690"/>
    <w:rsid w:val="00E51C98"/>
    <w:rsid w:val="00E533C0"/>
    <w:rsid w:val="00E605B5"/>
    <w:rsid w:val="00E66EC5"/>
    <w:rsid w:val="00E74AC0"/>
    <w:rsid w:val="00E76119"/>
    <w:rsid w:val="00E773FD"/>
    <w:rsid w:val="00E77BD9"/>
    <w:rsid w:val="00E83CE6"/>
    <w:rsid w:val="00E845EC"/>
    <w:rsid w:val="00E85123"/>
    <w:rsid w:val="00E8633D"/>
    <w:rsid w:val="00E95180"/>
    <w:rsid w:val="00E969F1"/>
    <w:rsid w:val="00EA392E"/>
    <w:rsid w:val="00EB27D3"/>
    <w:rsid w:val="00EB4DBB"/>
    <w:rsid w:val="00EC41F2"/>
    <w:rsid w:val="00EC6844"/>
    <w:rsid w:val="00EC7AAC"/>
    <w:rsid w:val="00ED740E"/>
    <w:rsid w:val="00EE18B1"/>
    <w:rsid w:val="00EE77CD"/>
    <w:rsid w:val="00EF31B4"/>
    <w:rsid w:val="00EF492C"/>
    <w:rsid w:val="00EF6C05"/>
    <w:rsid w:val="00F009C0"/>
    <w:rsid w:val="00F15DFC"/>
    <w:rsid w:val="00F21249"/>
    <w:rsid w:val="00F21BAD"/>
    <w:rsid w:val="00F30BC4"/>
    <w:rsid w:val="00F326AF"/>
    <w:rsid w:val="00F35872"/>
    <w:rsid w:val="00F4002B"/>
    <w:rsid w:val="00F40217"/>
    <w:rsid w:val="00F41854"/>
    <w:rsid w:val="00F42BE6"/>
    <w:rsid w:val="00F45D3E"/>
    <w:rsid w:val="00F4656F"/>
    <w:rsid w:val="00F51545"/>
    <w:rsid w:val="00F54DD6"/>
    <w:rsid w:val="00F65AEB"/>
    <w:rsid w:val="00F72812"/>
    <w:rsid w:val="00F729D2"/>
    <w:rsid w:val="00F73945"/>
    <w:rsid w:val="00F8091E"/>
    <w:rsid w:val="00F83767"/>
    <w:rsid w:val="00F84FCC"/>
    <w:rsid w:val="00FA2C9C"/>
    <w:rsid w:val="00FA3851"/>
    <w:rsid w:val="00FA3B0D"/>
    <w:rsid w:val="00FB2199"/>
    <w:rsid w:val="00FC4C14"/>
    <w:rsid w:val="00FD5DFB"/>
    <w:rsid w:val="00FD6E51"/>
    <w:rsid w:val="00FE5A20"/>
    <w:rsid w:val="00FF4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988BF"/>
  <w15:chartTrackingRefBased/>
  <w15:docId w15:val="{E365FD31-25C1-4AA8-B21B-424AF27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7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4184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17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unhideWhenUsed/>
    <w:rsid w:val="00F51545"/>
    <w:pPr>
      <w:spacing w:after="0" w:line="240" w:lineRule="auto"/>
    </w:pPr>
    <w:rPr>
      <w:sz w:val="20"/>
      <w:szCs w:val="20"/>
    </w:rPr>
  </w:style>
  <w:style w:type="character" w:customStyle="1" w:styleId="DipnotMetniChar">
    <w:name w:val="Dipnot Metni Char"/>
    <w:basedOn w:val="VarsaylanParagrafYazTipi"/>
    <w:link w:val="DipnotMetni"/>
    <w:uiPriority w:val="99"/>
    <w:rsid w:val="00F51545"/>
    <w:rPr>
      <w:sz w:val="20"/>
      <w:szCs w:val="20"/>
    </w:rPr>
  </w:style>
  <w:style w:type="character" w:styleId="DipnotBavurusu">
    <w:name w:val="footnote reference"/>
    <w:basedOn w:val="VarsaylanParagrafYazTipi"/>
    <w:uiPriority w:val="99"/>
    <w:unhideWhenUsed/>
    <w:rsid w:val="00F51545"/>
    <w:rPr>
      <w:vertAlign w:val="superscript"/>
    </w:rPr>
  </w:style>
  <w:style w:type="character" w:customStyle="1" w:styleId="sb8d990e2">
    <w:name w:val="sb8d990e2"/>
    <w:basedOn w:val="VarsaylanParagrafYazTipi"/>
    <w:rsid w:val="00431373"/>
  </w:style>
  <w:style w:type="paragraph" w:styleId="ListeParagraf">
    <w:name w:val="List Paragraph"/>
    <w:basedOn w:val="Normal"/>
    <w:uiPriority w:val="34"/>
    <w:qFormat/>
    <w:rsid w:val="00555BFF"/>
    <w:pPr>
      <w:ind w:left="720"/>
      <w:contextualSpacing/>
    </w:pPr>
  </w:style>
  <w:style w:type="character" w:customStyle="1" w:styleId="Balk2Char">
    <w:name w:val="Başlık 2 Char"/>
    <w:basedOn w:val="VarsaylanParagrafYazTipi"/>
    <w:link w:val="Balk2"/>
    <w:uiPriority w:val="9"/>
    <w:rsid w:val="00A41840"/>
    <w:rPr>
      <w:rFonts w:asciiTheme="majorHAnsi" w:eastAsiaTheme="majorEastAsia" w:hAnsiTheme="majorHAnsi" w:cstheme="majorBidi"/>
      <w:color w:val="2E74B5" w:themeColor="accent1" w:themeShade="BF"/>
      <w:sz w:val="26"/>
      <w:szCs w:val="26"/>
      <w:lang w:val="tr" w:eastAsia="tr-TR"/>
    </w:rPr>
  </w:style>
  <w:style w:type="character" w:styleId="Kpr">
    <w:name w:val="Hyperlink"/>
    <w:basedOn w:val="VarsaylanParagrafYazTipi"/>
    <w:uiPriority w:val="99"/>
    <w:unhideWhenUsed/>
    <w:rsid w:val="00A41840"/>
    <w:rPr>
      <w:color w:val="0563C1" w:themeColor="hyperlink"/>
      <w:u w:val="single"/>
    </w:rPr>
  </w:style>
  <w:style w:type="character" w:customStyle="1" w:styleId="Balk1Char">
    <w:name w:val="Başlık 1 Char"/>
    <w:basedOn w:val="VarsaylanParagrafYazTipi"/>
    <w:link w:val="Balk1"/>
    <w:uiPriority w:val="9"/>
    <w:rsid w:val="00317D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317D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7D0F"/>
  </w:style>
  <w:style w:type="paragraph" w:styleId="AltBilgi">
    <w:name w:val="footer"/>
    <w:basedOn w:val="Normal"/>
    <w:link w:val="AltBilgiChar"/>
    <w:uiPriority w:val="99"/>
    <w:unhideWhenUsed/>
    <w:rsid w:val="00317D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7D0F"/>
  </w:style>
  <w:style w:type="character" w:styleId="zmlenmeyenBahsetme">
    <w:name w:val="Unresolved Mention"/>
    <w:basedOn w:val="VarsaylanParagrafYazTipi"/>
    <w:uiPriority w:val="99"/>
    <w:semiHidden/>
    <w:unhideWhenUsed/>
    <w:rsid w:val="002E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peks\Desktop\info@esithaklar.org" TargetMode="External"/><Relationship Id="rId5" Type="http://schemas.openxmlformats.org/officeDocument/2006/relationships/webSettings" Target="webSettings.xml"/><Relationship Id="rId10" Type="http://schemas.openxmlformats.org/officeDocument/2006/relationships/hyperlink" Target="mailto:esithaklar@gmail.com" TargetMode="External"/><Relationship Id="rId4" Type="http://schemas.openxmlformats.org/officeDocument/2006/relationships/settings" Target="settings.xml"/><Relationship Id="rId9" Type="http://schemas.openxmlformats.org/officeDocument/2006/relationships/hyperlink" Target="http://www.esithaklar.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ysk.gov.tr/doc/karar/dosya/77913/2018-1103.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7371-79A2-4EE0-9CF3-0907E9B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3056</Words>
  <Characters>17423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Eshid</cp:lastModifiedBy>
  <cp:revision>106</cp:revision>
  <dcterms:created xsi:type="dcterms:W3CDTF">2019-07-18T11:48:00Z</dcterms:created>
  <dcterms:modified xsi:type="dcterms:W3CDTF">2019-12-06T12:35:00Z</dcterms:modified>
</cp:coreProperties>
</file>