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2">
      <w:pPr>
        <w:spacing w:after="200" w:before="200" w:line="276" w:lineRule="auto"/>
        <w:jc w:val="both"/>
        <w:rPr>
          <w:b w:val="1"/>
          <w:bCs w:val="1"/>
        </w:rPr>
      </w:pPr>
      <w:r w:rsidDel="00000000" w:rsidR="00000000" w:rsidRPr="00000000">
        <w:rPr>
          <w:b w:val="1"/>
          <w:bCs w:val="1"/>
          <w:rtl w:val="0"/>
        </w:rPr>
        <w:t xml:space="preserve">Human Rights Committee Call for Input - Draft General Comment No. 38 on article 22 (Freedom of Association) of the International Covenant on Civil and Political Rights</w:t>
      </w:r>
    </w:p>
    <w:p w:rsidR="00000000" w:rsidDel="00000000" w:rsidP="00000000" w:rsidRDefault="00000000" w:rsidRPr="00000000" w14:paraId="00000003">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4">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5">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6">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7">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8">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09">
      <w:pPr>
        <w:spacing w:after="200" w:before="200" w:line="276" w:lineRule="auto"/>
        <w:jc w:val="both"/>
        <w:rPr>
          <w:u w:val="single"/>
        </w:rPr>
      </w:pPr>
      <w:r w:rsidDel="00000000" w:rsidR="00000000" w:rsidRPr="00000000">
        <w:rPr>
          <w:u w:val="single"/>
          <w:rtl w:val="0"/>
        </w:rPr>
        <w:t xml:space="preserve">Joint Submission by: </w:t>
      </w:r>
    </w:p>
    <w:p w:rsidR="00000000" w:rsidDel="00000000" w:rsidP="00000000" w:rsidRDefault="00000000" w:rsidRPr="00000000" w14:paraId="0000000A">
      <w:pPr>
        <w:spacing w:after="200" w:before="200" w:line="240" w:lineRule="auto"/>
        <w:jc w:val="both"/>
        <w:rPr/>
      </w:pPr>
      <w:r w:rsidDel="00000000" w:rsidR="00000000" w:rsidRPr="00000000">
        <w:rPr>
          <w:rtl w:val="0"/>
        </w:rPr>
        <w:t xml:space="preserve">Association for Monitoring Equal Rights (AMER)</w:t>
      </w:r>
    </w:p>
    <w:p w:rsidR="00000000" w:rsidDel="00000000" w:rsidP="00000000" w:rsidRDefault="00000000" w:rsidRPr="00000000" w14:paraId="0000000B">
      <w:pPr>
        <w:spacing w:after="200" w:before="200" w:lineRule="auto"/>
        <w:jc w:val="both"/>
        <w:rPr/>
      </w:pPr>
      <w:r w:rsidDel="00000000" w:rsidR="00000000" w:rsidRPr="00000000">
        <w:rPr>
          <w:rtl w:val="0"/>
        </w:rPr>
        <w:t xml:space="preserve">Capacity Development Association (KAGED/IHOP)</w:t>
      </w:r>
    </w:p>
    <w:p w:rsidR="00000000" w:rsidDel="00000000" w:rsidP="00000000" w:rsidRDefault="00000000" w:rsidRPr="00000000" w14:paraId="0000000C">
      <w:pPr>
        <w:spacing w:after="200" w:before="200" w:line="240" w:lineRule="auto"/>
        <w:jc w:val="both"/>
        <w:rPr/>
      </w:pPr>
      <w:r w:rsidDel="00000000" w:rsidR="00000000" w:rsidRPr="00000000">
        <w:rPr>
          <w:rtl w:val="0"/>
        </w:rPr>
        <w:t xml:space="preserve">Civil Society Development Center (STGM)</w:t>
      </w:r>
    </w:p>
    <w:p w:rsidR="00000000" w:rsidDel="00000000" w:rsidP="00000000" w:rsidRDefault="00000000" w:rsidRPr="00000000" w14:paraId="0000000D">
      <w:pPr>
        <w:spacing w:after="200" w:before="200" w:line="240" w:lineRule="auto"/>
        <w:jc w:val="both"/>
        <w:rPr/>
      </w:pPr>
      <w:r w:rsidDel="00000000" w:rsidR="00000000" w:rsidRPr="00000000">
        <w:rPr>
          <w:rtl w:val="0"/>
        </w:rPr>
        <w:t xml:space="preserve">Hafıza Merkezi</w:t>
      </w:r>
    </w:p>
    <w:p w:rsidR="00000000" w:rsidDel="00000000" w:rsidP="00000000" w:rsidRDefault="00000000" w:rsidRPr="00000000" w14:paraId="0000000E">
      <w:pPr>
        <w:spacing w:after="200" w:before="200" w:line="240" w:lineRule="auto"/>
        <w:jc w:val="both"/>
        <w:rPr/>
      </w:pPr>
      <w:r w:rsidDel="00000000" w:rsidR="00000000" w:rsidRPr="00000000">
        <w:rPr>
          <w:rtl w:val="0"/>
        </w:rPr>
        <w:t xml:space="preserve">Human Rights Association</w:t>
      </w:r>
    </w:p>
    <w:p w:rsidR="00000000" w:rsidDel="00000000" w:rsidP="00000000" w:rsidRDefault="00000000" w:rsidRPr="00000000" w14:paraId="0000000F">
      <w:pPr>
        <w:spacing w:after="200" w:before="200" w:line="240" w:lineRule="auto"/>
        <w:jc w:val="both"/>
        <w:rPr/>
      </w:pPr>
      <w:r w:rsidDel="00000000" w:rsidR="00000000" w:rsidRPr="00000000">
        <w:rPr>
          <w:rtl w:val="0"/>
        </w:rPr>
        <w:t xml:space="preserve">Human Rights Foundation of Turkey</w:t>
      </w:r>
    </w:p>
    <w:p w:rsidR="00000000" w:rsidDel="00000000" w:rsidP="00000000" w:rsidRDefault="00000000" w:rsidRPr="00000000" w14:paraId="00000010">
      <w:pPr>
        <w:spacing w:after="200" w:before="200" w:line="240" w:lineRule="auto"/>
        <w:jc w:val="both"/>
        <w:rPr/>
      </w:pPr>
      <w:r w:rsidDel="00000000" w:rsidR="00000000" w:rsidRPr="00000000">
        <w:rPr>
          <w:rtl w:val="0"/>
        </w:rPr>
        <w:t xml:space="preserve">Human Rights School (İnsan Hakları Okulu)</w:t>
      </w:r>
    </w:p>
    <w:p w:rsidR="00000000" w:rsidDel="00000000" w:rsidP="00000000" w:rsidRDefault="00000000" w:rsidRPr="00000000" w14:paraId="00000011">
      <w:pPr>
        <w:spacing w:after="200" w:before="200" w:line="240" w:lineRule="auto"/>
        <w:jc w:val="both"/>
        <w:rPr/>
      </w:pPr>
      <w:r w:rsidDel="00000000" w:rsidR="00000000" w:rsidRPr="00000000">
        <w:rPr>
          <w:rtl w:val="0"/>
        </w:rPr>
        <w:t xml:space="preserve">Kaos GL Association</w:t>
      </w:r>
    </w:p>
    <w:p w:rsidR="00000000" w:rsidDel="00000000" w:rsidP="00000000" w:rsidRDefault="00000000" w:rsidRPr="00000000" w14:paraId="00000012">
      <w:pPr>
        <w:spacing w:after="200" w:before="200" w:line="240" w:lineRule="auto"/>
        <w:jc w:val="both"/>
        <w:rPr/>
      </w:pPr>
      <w:r w:rsidDel="00000000" w:rsidR="00000000" w:rsidRPr="00000000">
        <w:rPr>
          <w:rtl w:val="0"/>
        </w:rPr>
        <w:t xml:space="preserve">Mor Çatı Women’s Shelter Foundation</w:t>
      </w:r>
    </w:p>
    <w:p w:rsidR="00000000" w:rsidDel="00000000" w:rsidP="00000000" w:rsidRDefault="00000000" w:rsidRPr="00000000" w14:paraId="00000013">
      <w:pPr>
        <w:spacing w:after="200" w:before="200" w:line="240" w:lineRule="auto"/>
        <w:jc w:val="both"/>
        <w:rPr/>
      </w:pPr>
      <w:r w:rsidDel="00000000" w:rsidR="00000000" w:rsidRPr="00000000">
        <w:rPr>
          <w:rtl w:val="0"/>
        </w:rPr>
        <w:t xml:space="preserve">Third Sector Foundation of Türkiye (TÜSEV)</w:t>
      </w:r>
    </w:p>
    <w:p w:rsidR="00000000" w:rsidDel="00000000" w:rsidP="00000000" w:rsidRDefault="00000000" w:rsidRPr="00000000" w14:paraId="00000014">
      <w:pPr>
        <w:spacing w:after="200" w:before="200" w:line="240" w:lineRule="auto"/>
        <w:jc w:val="both"/>
        <w:rPr/>
      </w:pPr>
      <w:r w:rsidDel="00000000" w:rsidR="00000000" w:rsidRPr="00000000">
        <w:rPr>
          <w:rtl w:val="0"/>
        </w:rPr>
        <w:t xml:space="preserve">Women for Women’s Human Rights</w:t>
      </w:r>
    </w:p>
    <w:p w:rsidR="00000000" w:rsidDel="00000000" w:rsidP="00000000" w:rsidRDefault="00000000" w:rsidRPr="00000000" w14:paraId="00000015">
      <w:pPr>
        <w:spacing w:after="200" w:before="200" w:line="240" w:lineRule="auto"/>
        <w:jc w:val="both"/>
        <w:rPr/>
      </w:pPr>
      <w:r w:rsidDel="00000000" w:rsidR="00000000" w:rsidRPr="00000000">
        <w:rPr>
          <w:rtl w:val="0"/>
        </w:rPr>
        <w:t xml:space="preserve">Young LGBTI+ Association</w:t>
      </w:r>
    </w:p>
    <w:p w:rsidR="00000000" w:rsidDel="00000000" w:rsidP="00000000" w:rsidRDefault="00000000" w:rsidRPr="00000000" w14:paraId="00000016">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7">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8">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9">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A">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B">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C">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1D">
      <w:pPr>
        <w:numPr>
          <w:ilvl w:val="0"/>
          <w:numId w:val="1"/>
        </w:numPr>
        <w:spacing w:after="200" w:before="200" w:line="276" w:lineRule="auto"/>
        <w:ind w:left="720" w:hanging="360"/>
        <w:jc w:val="both"/>
        <w:rPr>
          <w:u w:val="none"/>
        </w:rPr>
      </w:pPr>
      <w:r w:rsidDel="00000000" w:rsidR="00000000" w:rsidRPr="00000000">
        <w:rPr>
          <w:rtl w:val="0"/>
        </w:rPr>
        <w:t xml:space="preserve">Submitting human rights organizations welcome the opportunity to share their perspectives on Draft General Comment No. 38 on the Article 22 of ICCPR. Our submission draws on the long-standing experience and expertise of twelve civil society organizations working in various fields of human rights in Turkey.   </w:t>
      </w:r>
    </w:p>
    <w:p w:rsidR="00000000" w:rsidDel="00000000" w:rsidP="00000000" w:rsidRDefault="00000000" w:rsidRPr="00000000" w14:paraId="0000001E">
      <w:pPr>
        <w:numPr>
          <w:ilvl w:val="0"/>
          <w:numId w:val="1"/>
        </w:numPr>
        <w:spacing w:after="200" w:before="200" w:line="276" w:lineRule="auto"/>
        <w:ind w:left="720" w:hanging="360"/>
        <w:jc w:val="both"/>
        <w:rPr>
          <w:u w:val="none"/>
        </w:rPr>
      </w:pPr>
      <w:r w:rsidDel="00000000" w:rsidR="00000000" w:rsidRPr="00000000">
        <w:rPr>
          <w:rtl w:val="0"/>
        </w:rPr>
        <w:t xml:space="preserve">Our submission is structured as follows:</w:t>
      </w:r>
    </w:p>
    <w:p w:rsidR="00000000" w:rsidDel="00000000" w:rsidP="00000000" w:rsidRDefault="00000000" w:rsidRPr="00000000" w14:paraId="0000001F">
      <w:pPr>
        <w:numPr>
          <w:ilvl w:val="0"/>
          <w:numId w:val="2"/>
        </w:numPr>
        <w:spacing w:after="0" w:before="0" w:line="240" w:lineRule="auto"/>
        <w:ind w:left="1440" w:hanging="360"/>
        <w:jc w:val="both"/>
        <w:rPr>
          <w:u w:val="none"/>
        </w:rPr>
      </w:pPr>
      <w:r w:rsidDel="00000000" w:rsidR="00000000" w:rsidRPr="00000000">
        <w:rPr>
          <w:rtl w:val="0"/>
        </w:rPr>
        <w:t xml:space="preserve">The scope of freedom of association</w:t>
      </w:r>
    </w:p>
    <w:p w:rsidR="00000000" w:rsidDel="00000000" w:rsidP="00000000" w:rsidRDefault="00000000" w:rsidRPr="00000000" w14:paraId="00000020">
      <w:pPr>
        <w:numPr>
          <w:ilvl w:val="0"/>
          <w:numId w:val="2"/>
        </w:numPr>
        <w:spacing w:after="0" w:before="0" w:line="240" w:lineRule="auto"/>
        <w:ind w:left="1440" w:hanging="360"/>
        <w:jc w:val="both"/>
        <w:rPr/>
      </w:pPr>
      <w:r w:rsidDel="00000000" w:rsidR="00000000" w:rsidRPr="00000000">
        <w:rPr>
          <w:rtl w:val="0"/>
        </w:rPr>
        <w:t xml:space="preserve">The links between freedom of association and other related rights and its importance in the new global context</w:t>
      </w:r>
    </w:p>
    <w:p w:rsidR="00000000" w:rsidDel="00000000" w:rsidP="00000000" w:rsidRDefault="00000000" w:rsidRPr="00000000" w14:paraId="00000021">
      <w:pPr>
        <w:numPr>
          <w:ilvl w:val="0"/>
          <w:numId w:val="2"/>
        </w:numPr>
        <w:spacing w:after="0" w:before="0" w:line="240" w:lineRule="auto"/>
        <w:ind w:left="1440" w:hanging="360"/>
        <w:jc w:val="both"/>
        <w:rPr/>
      </w:pPr>
      <w:r w:rsidDel="00000000" w:rsidR="00000000" w:rsidRPr="00000000">
        <w:rPr>
          <w:rtl w:val="0"/>
        </w:rPr>
        <w:t xml:space="preserve">Obligations of States</w:t>
      </w:r>
    </w:p>
    <w:p w:rsidR="00000000" w:rsidDel="00000000" w:rsidP="00000000" w:rsidRDefault="00000000" w:rsidRPr="00000000" w14:paraId="00000022">
      <w:pPr>
        <w:numPr>
          <w:ilvl w:val="0"/>
          <w:numId w:val="2"/>
        </w:numPr>
        <w:spacing w:after="0" w:before="0" w:line="240" w:lineRule="auto"/>
        <w:ind w:left="1440" w:hanging="360"/>
        <w:jc w:val="both"/>
        <w:rPr/>
      </w:pPr>
      <w:r w:rsidDel="00000000" w:rsidR="00000000" w:rsidRPr="00000000">
        <w:rPr>
          <w:rtl w:val="0"/>
        </w:rPr>
        <w:t xml:space="preserve">Restrictions</w:t>
      </w:r>
    </w:p>
    <w:p w:rsidR="00000000" w:rsidDel="00000000" w:rsidP="00000000" w:rsidRDefault="00000000" w:rsidRPr="00000000" w14:paraId="00000023">
      <w:pPr>
        <w:numPr>
          <w:ilvl w:val="0"/>
          <w:numId w:val="2"/>
        </w:numPr>
        <w:spacing w:after="0" w:before="0" w:line="240" w:lineRule="auto"/>
        <w:ind w:left="1440" w:hanging="360"/>
        <w:jc w:val="both"/>
        <w:rPr/>
      </w:pPr>
      <w:r w:rsidDel="00000000" w:rsidR="00000000" w:rsidRPr="00000000">
        <w:rPr>
          <w:rtl w:val="0"/>
        </w:rPr>
        <w:t xml:space="preserve">Interference with freedom of association by non-state actors</w:t>
      </w:r>
    </w:p>
    <w:p w:rsidR="00000000" w:rsidDel="00000000" w:rsidP="00000000" w:rsidRDefault="00000000" w:rsidRPr="00000000" w14:paraId="00000024">
      <w:pPr>
        <w:spacing w:after="200" w:before="200" w:line="276" w:lineRule="auto"/>
        <w:jc w:val="both"/>
        <w:rPr>
          <w:b w:val="1"/>
          <w:bCs w:val="1"/>
        </w:rPr>
      </w:pPr>
      <w:r w:rsidDel="00000000" w:rsidR="00000000" w:rsidRPr="00000000">
        <w:rPr>
          <w:b w:val="1"/>
          <w:bCs w:val="1"/>
          <w:rtl w:val="0"/>
        </w:rPr>
        <w:t xml:space="preserve">The scope of freedom of association</w:t>
      </w:r>
    </w:p>
    <w:p w:rsidR="00000000" w:rsidDel="00000000" w:rsidP="00000000" w:rsidRDefault="00000000" w:rsidRPr="00000000" w14:paraId="00000025">
      <w:pPr>
        <w:numPr>
          <w:ilvl w:val="0"/>
          <w:numId w:val="1"/>
        </w:numPr>
        <w:spacing w:after="200" w:before="200" w:lineRule="auto"/>
        <w:ind w:left="720" w:hanging="360"/>
        <w:jc w:val="both"/>
        <w:rPr>
          <w:u w:val="none"/>
        </w:rPr>
      </w:pPr>
      <w:r w:rsidDel="00000000" w:rsidR="00000000" w:rsidRPr="00000000">
        <w:rPr>
          <w:rtl w:val="0"/>
        </w:rPr>
        <w:t xml:space="preserve">The right of individuals to come together to protect their own interests and/or carry out activities for a specific purpose is guaranteed by various treaties and decisions at both the United Nations and Council of Europe levels. The General Comment should confirm that freedom of association, as consistently emphasized in all these regulations, encompasses the right of individuals to form organizations, join existing organizations, and not be compelled to join an organization, as well as the freedom of organizations to carry out their activities and to seek resources independently of unlawful interference.</w:t>
      </w:r>
    </w:p>
    <w:p w:rsidR="00000000" w:rsidDel="00000000" w:rsidP="00000000" w:rsidRDefault="00000000" w:rsidRPr="00000000" w14:paraId="00000026">
      <w:pPr>
        <w:numPr>
          <w:ilvl w:val="0"/>
          <w:numId w:val="1"/>
        </w:numPr>
        <w:spacing w:after="0" w:before="200" w:line="276" w:lineRule="auto"/>
        <w:ind w:left="720" w:hanging="360"/>
        <w:jc w:val="both"/>
        <w:rPr>
          <w:u w:val="none"/>
        </w:rPr>
      </w:pPr>
      <w:r w:rsidDel="00000000" w:rsidR="00000000" w:rsidRPr="00000000">
        <w:rPr>
          <w:rtl w:val="0"/>
        </w:rPr>
        <w:t xml:space="preserve">The General Comment should confirm that the definition of an organization cannot be subject to conditions such as obtaining permission, registering, or acquiring legal personality; rather, it should cover all groups acting together to achieve a specific purpose (temporary, informal, online, etc.). The definition of an organization should place particular emphasis on online organizations, which have grown in parallel with developments in information and communication technologies, in addition to traditional and common types of organizations, and should provide guidance on taking innovative measures to protect their freedom of association. Furthermore, given the current conditions of increased financial and political pressure targeting the civic space, the importance and functionality of informal groups must be recognized, and the definition of an organization must be broadened to ensure equality for these forms of organization. The General Comment should state that in countries with a dual system, the activities of informal organizations should be given the same level of legal protection as registered organizations. The former Special Rapporteur's comment that "the right to freedom of association protects registered and unregistered associations equally, and that members of unregistered associations should be free to carry out any activities, including organizing and participating in peaceful assemblies, without facing criminal sanctions"</w:t>
      </w:r>
      <w:r w:rsidDel="00000000" w:rsidR="00000000" w:rsidRPr="00000000">
        <w:rPr>
          <w:vertAlign w:val="superscript"/>
        </w:rPr>
        <w:footnoteReference w:customMarkFollows="0" w:id="0"/>
      </w:r>
      <w:r w:rsidDel="00000000" w:rsidR="00000000" w:rsidRPr="00000000">
        <w:rPr>
          <w:rtl w:val="0"/>
        </w:rPr>
        <w:t xml:space="preserve"> should be included in General Comment 38.</w:t>
      </w:r>
    </w:p>
    <w:p w:rsidR="00000000" w:rsidDel="00000000" w:rsidP="00000000" w:rsidRDefault="00000000" w:rsidRPr="00000000" w14:paraId="00000027">
      <w:pPr>
        <w:numPr>
          <w:ilvl w:val="0"/>
          <w:numId w:val="1"/>
        </w:numPr>
        <w:spacing w:after="0" w:before="200" w:line="276" w:lineRule="auto"/>
        <w:ind w:left="720" w:hanging="360"/>
        <w:jc w:val="both"/>
        <w:rPr>
          <w:u w:val="none"/>
        </w:rPr>
      </w:pPr>
      <w:r w:rsidDel="00000000" w:rsidR="00000000" w:rsidRPr="00000000">
        <w:rPr>
          <w:rtl w:val="0"/>
        </w:rPr>
        <w:t xml:space="preserve">In addition, the Committee should be aware of the increase in the number and influence of organizations that spread anti-rights, racist, sexist, homophobic, and transphobic discourse. The General Comment should highlight these organizations' efforts to silence individuals and organizations demanding rights and define specific measures to protect organizations upholding the principles and values of regional and international human rights instruments, particularly the International Covenant on Civil and Political Rights. In this context, the Committee should state in the General Comment that, as stipulated in Article 20 of the Covenant, States are legally obliged to prohibit war propaganda and advocacy of racial or religious hatred, and that all forms of racism must be prohibited, as must the motives that create a favorable environment for such organizations. </w:t>
      </w:r>
    </w:p>
    <w:p w:rsidR="00000000" w:rsidDel="00000000" w:rsidP="00000000" w:rsidRDefault="00000000" w:rsidRPr="00000000" w14:paraId="00000028">
      <w:pPr>
        <w:numPr>
          <w:ilvl w:val="0"/>
          <w:numId w:val="1"/>
        </w:numPr>
        <w:spacing w:after="160" w:before="200" w:line="276" w:lineRule="auto"/>
        <w:ind w:left="720" w:hanging="360"/>
        <w:jc w:val="both"/>
        <w:rPr>
          <w:u w:val="none"/>
        </w:rPr>
      </w:pPr>
      <w:r w:rsidDel="00000000" w:rsidR="00000000" w:rsidRPr="00000000">
        <w:rPr>
          <w:rtl w:val="0"/>
        </w:rPr>
        <w:t xml:space="preserve">The General Comment should specify that no additional or aggravated conditions may be imposed on the activities of international NGOs within the jurisdiction of States.</w:t>
      </w:r>
    </w:p>
    <w:p w:rsidR="00000000" w:rsidDel="00000000" w:rsidP="00000000" w:rsidRDefault="00000000" w:rsidRPr="00000000" w14:paraId="00000029">
      <w:pPr>
        <w:spacing w:after="200" w:before="200" w:line="276" w:lineRule="auto"/>
        <w:jc w:val="both"/>
        <w:rPr/>
      </w:pPr>
      <w:r w:rsidDel="00000000" w:rsidR="00000000" w:rsidRPr="00000000">
        <w:rPr>
          <w:b w:val="1"/>
          <w:bCs w:val="1"/>
          <w:rtl w:val="0"/>
        </w:rPr>
        <w:t xml:space="preserve">The links between freedom of association and other related rights and its importance in the new global context</w:t>
      </w:r>
      <w:r w:rsidDel="00000000" w:rsidR="00000000" w:rsidRPr="00000000">
        <w:rPr>
          <w:rtl w:val="0"/>
        </w:rPr>
      </w:r>
    </w:p>
    <w:p w:rsidR="00000000" w:rsidDel="00000000" w:rsidP="00000000" w:rsidRDefault="00000000" w:rsidRPr="00000000" w14:paraId="0000002A">
      <w:pPr>
        <w:numPr>
          <w:ilvl w:val="0"/>
          <w:numId w:val="1"/>
        </w:numPr>
        <w:spacing w:after="200" w:before="200" w:line="276" w:lineRule="auto"/>
        <w:ind w:left="720" w:hanging="360"/>
        <w:jc w:val="both"/>
        <w:rPr>
          <w:u w:val="none"/>
        </w:rPr>
      </w:pPr>
      <w:r w:rsidDel="00000000" w:rsidR="00000000" w:rsidRPr="00000000">
        <w:rPr>
          <w:rtl w:val="0"/>
        </w:rPr>
        <w:t xml:space="preserve">In the eighth paragraph of its concept note, the Committee pointed to "a global trend that fuels the rise of authoritarianism and the closure of civic space." Indeed</w:t>
      </w:r>
      <w:r w:rsidDel="00000000" w:rsidR="00000000" w:rsidRPr="00000000">
        <w:rPr>
          <w:highlight w:val="white"/>
          <w:rtl w:val="0"/>
        </w:rPr>
        <w:t xml:space="preserve">, numerous organizations have documented that this global trend has led to widespread violations of the freedoms of association, expression, and peaceful assembly.</w:t>
      </w:r>
      <w:r w:rsidDel="00000000" w:rsidR="00000000" w:rsidRPr="00000000">
        <w:rPr>
          <w:highlight w:val="white"/>
          <w:vertAlign w:val="superscript"/>
        </w:rPr>
        <w:footnoteReference w:customMarkFollows="0" w:id="1"/>
      </w:r>
      <w:r w:rsidDel="00000000" w:rsidR="00000000" w:rsidRPr="00000000">
        <w:rPr>
          <w:highlight w:val="white"/>
          <w:rtl w:val="0"/>
        </w:rPr>
        <w:t xml:space="preserve"> </w:t>
      </w:r>
      <w:r w:rsidDel="00000000" w:rsidR="00000000" w:rsidRPr="00000000">
        <w:rPr>
          <w:rtl w:val="0"/>
        </w:rPr>
        <w:t xml:space="preserve">The erosion and regression of democracies has resulted in the neutralization of international mechanisms and a departure from human rights norms. In this new order, where fundamental rights and freedoms are under threat and are becoming increasingly unequal and asymmetrical, it is more important than ever that rights holders have the freedom of association to defend their rights. In summary, when setting out the standards and measures for implementing freedom of association, the General Comment should take into account the threats posed by the crisis in the global human rights regime and the worldwide trend toward authoritarianism, rather than interpreting freedom of association in the context of a purely democratic world. </w:t>
      </w:r>
    </w:p>
    <w:p w:rsidR="00000000" w:rsidDel="00000000" w:rsidP="00000000" w:rsidRDefault="00000000" w:rsidRPr="00000000" w14:paraId="0000002B">
      <w:pPr>
        <w:numPr>
          <w:ilvl w:val="0"/>
          <w:numId w:val="1"/>
        </w:numPr>
        <w:spacing w:after="0" w:before="200" w:line="276" w:lineRule="auto"/>
        <w:ind w:left="720" w:hanging="360"/>
        <w:jc w:val="both"/>
        <w:rPr>
          <w:u w:val="none"/>
        </w:rPr>
      </w:pPr>
      <w:r w:rsidDel="00000000" w:rsidR="00000000" w:rsidRPr="00000000">
        <w:rPr>
          <w:rtl w:val="0"/>
        </w:rPr>
        <w:t xml:space="preserve">The effective exercise of freedom of association requires an environment conducive to the enjoyment and respect of many other civil, political, economic, social, and cultural rights by all, including non-discrimination and the right to equality, freedom of expression, freedom of peaceful assembly, and the right to participate in public affairs. The exercise of freedom of association not only develops with these rights but also serves as a guarantee for their implementation. For example, individuals can organize in groups to express their political views, engage in cultural, artistic, economic, and social activities, protect their economic and social interests through unions and cooperatives, monitor the human rights situation in their country or region, speak out against human rights violations, and call on states and other duty bearers to implement human rights policies. In this regard, the General Comment should emphasize the key importance of freedom of association for democratic and inclusive societies when defining the scope of freedom of association and the obligations of states, highlighting its interdependence and interrelatedness with other rights.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2C">
      <w:pPr>
        <w:numPr>
          <w:ilvl w:val="0"/>
          <w:numId w:val="1"/>
        </w:numPr>
        <w:spacing w:after="0" w:before="200" w:line="276" w:lineRule="auto"/>
        <w:ind w:left="720" w:hanging="360"/>
        <w:jc w:val="both"/>
        <w:rPr>
          <w:u w:val="none"/>
        </w:rPr>
      </w:pPr>
      <w:r w:rsidDel="00000000" w:rsidR="00000000" w:rsidRPr="00000000">
        <w:rPr>
          <w:rtl w:val="0"/>
        </w:rPr>
        <w:t xml:space="preserve">The General Comment should emphasise that freedom of association is inextricably linked to freedom of expression and freedom of peaceful assembly, and that these three rights must be considered holistically under the principle of "preserving the civic space," which is vital for a democratic society to exist. It should be emphasized that restrictions imposed by states on freedom of association may also restrict the exercise of freedom of expression and peaceful assembly. Therefore, when evaluating such measures, judicial bodies and other appeal mechanisms must consider their impact on freedom of expression and peaceful assembly. </w:t>
      </w:r>
    </w:p>
    <w:p w:rsidR="00000000" w:rsidDel="00000000" w:rsidP="00000000" w:rsidRDefault="00000000" w:rsidRPr="00000000" w14:paraId="0000002D">
      <w:pPr>
        <w:numPr>
          <w:ilvl w:val="0"/>
          <w:numId w:val="1"/>
        </w:numPr>
        <w:spacing w:after="160" w:before="200" w:line="301.09090909090907" w:lineRule="auto"/>
        <w:ind w:left="720" w:hanging="360"/>
        <w:jc w:val="both"/>
        <w:rPr>
          <w:u w:val="none"/>
        </w:rPr>
      </w:pPr>
      <w:r w:rsidDel="00000000" w:rsidR="00000000" w:rsidRPr="00000000">
        <w:rPr>
          <w:rtl w:val="0"/>
        </w:rPr>
        <w:t xml:space="preserve">The right to access information is an integral part of the effective and meaningful exercise of freedom of association. The ability of individuals and civil society organizations to access timely and accurate information about decision-making processes, legislation, public spending and policies directly affects their capacity to form organizations, join organizations, advocate, and influence public policies. Therefore, the General Comment should clearly emphasize that states must establish mechanisms that enable access to information for the effective exercise of freedom of association. The General Comment should recall that this right may only be restricted in exceptional circumstances, for a legitimate purpose prescribed by law, and with clear justification. It should provide explicit guidance on how to eliminate administrative, legal, and practical restrictions that grant public authorities vague and broad discretionary powers.</w:t>
      </w:r>
    </w:p>
    <w:p w:rsidR="00000000" w:rsidDel="00000000" w:rsidP="00000000" w:rsidRDefault="00000000" w:rsidRPr="00000000" w14:paraId="0000002E">
      <w:pPr>
        <w:spacing w:after="200" w:before="200" w:line="276" w:lineRule="auto"/>
        <w:ind w:left="0" w:firstLine="0"/>
        <w:jc w:val="both"/>
        <w:rPr>
          <w:b w:val="1"/>
          <w:bCs w:val="1"/>
        </w:rPr>
      </w:pPr>
      <w:r w:rsidDel="00000000" w:rsidR="00000000" w:rsidRPr="00000000">
        <w:rPr>
          <w:b w:val="1"/>
          <w:bCs w:val="1"/>
          <w:rtl w:val="0"/>
        </w:rPr>
        <w:t xml:space="preserve">Obligations of States</w:t>
      </w:r>
    </w:p>
    <w:p w:rsidR="00000000" w:rsidDel="00000000" w:rsidP="00000000" w:rsidRDefault="00000000" w:rsidRPr="00000000" w14:paraId="0000002F">
      <w:pPr>
        <w:numPr>
          <w:ilvl w:val="0"/>
          <w:numId w:val="1"/>
        </w:numPr>
        <w:spacing w:after="200" w:before="200" w:line="276" w:lineRule="auto"/>
        <w:ind w:left="720" w:hanging="360"/>
        <w:jc w:val="both"/>
        <w:rPr>
          <w:u w:val="none"/>
        </w:rPr>
      </w:pPr>
      <w:r w:rsidDel="00000000" w:rsidR="00000000" w:rsidRPr="00000000">
        <w:rPr>
          <w:rtl w:val="0"/>
        </w:rPr>
        <w:t xml:space="preserve">The authorities’ disregard for the autonomy of civil society organizations is one of the root causes of threats and attacks on freedom of association, some of which are mentioned in paragraph 8 of the Committee's concept note. The General Comment should clearly state that, when defining States' obligations in the context of freedom of association, States must refrain from any intervention that undermines the autonomy of organizations. </w:t>
      </w:r>
    </w:p>
    <w:p w:rsidR="00000000" w:rsidDel="00000000" w:rsidP="00000000" w:rsidRDefault="00000000" w:rsidRPr="00000000" w14:paraId="00000030">
      <w:pPr>
        <w:numPr>
          <w:ilvl w:val="0"/>
          <w:numId w:val="1"/>
        </w:numPr>
        <w:spacing w:after="0" w:before="200" w:line="276" w:lineRule="auto"/>
        <w:ind w:left="720" w:hanging="360"/>
        <w:jc w:val="both"/>
        <w:rPr>
          <w:u w:val="none"/>
        </w:rPr>
      </w:pPr>
      <w:r w:rsidDel="00000000" w:rsidR="00000000" w:rsidRPr="00000000">
        <w:rPr>
          <w:rtl w:val="0"/>
        </w:rPr>
        <w:t xml:space="preserve">The obligation of States to respect freedom of association requires more than simply refraining from interference.</w:t>
      </w:r>
      <w:r w:rsidDel="00000000" w:rsidR="00000000" w:rsidRPr="00000000">
        <w:rPr>
          <w:vertAlign w:val="superscript"/>
        </w:rPr>
        <w:footnoteReference w:customMarkFollows="0" w:id="3"/>
      </w:r>
      <w:r w:rsidDel="00000000" w:rsidR="00000000" w:rsidRPr="00000000">
        <w:rPr>
          <w:rtl w:val="0"/>
        </w:rPr>
        <w:t xml:space="preserve"> The General Comment should remind States of their obligation to facilitate the exercise of this right by individuals and organizations. This can be achieved by establishing the necessary legal and institutional framework for the non-discriminatory exercise of freedom of association, including an open,  secure and civic space that is free from any form of online or offline intimidation, harassment, and reprisals. This obligation to facilitate includes, but is not limited to, the establishment phase, the protection of members, access to resources, the free expression of defended values, participation in decision-making mechanisms, access to information, the support and protection of human rights defenders, the equal organization of disadvantaged groups, developing measures against racist, homophobic, transphobic, and sexist organizations that threaten pluralism, democracy, and human rights, and ensuring an effective remedy against possible violations. </w:t>
      </w:r>
    </w:p>
    <w:p w:rsidR="00000000" w:rsidDel="00000000" w:rsidP="00000000" w:rsidRDefault="00000000" w:rsidRPr="00000000" w14:paraId="00000031">
      <w:pPr>
        <w:numPr>
          <w:ilvl w:val="0"/>
          <w:numId w:val="1"/>
        </w:numPr>
        <w:spacing w:after="0" w:before="200" w:line="276" w:lineRule="auto"/>
        <w:ind w:left="720" w:hanging="360"/>
        <w:jc w:val="both"/>
        <w:rPr>
          <w:u w:val="none"/>
        </w:rPr>
      </w:pPr>
      <w:r w:rsidDel="00000000" w:rsidR="00000000" w:rsidRPr="00000000">
        <w:rPr>
          <w:rtl w:val="0"/>
        </w:rPr>
        <w:t xml:space="preserve">The Committee should remind States of their obligation to prevent, investigate, and punish acts and threats of intimidation, stigmatization, and criminalization against human rights defenders and civil society organizations. It should also specifically emphasize that administrative and political authorities must refrain from any attitude that targets organizations or declares their activities to be illegal. The general comment should clearly state that investigating, prosecuting and punishing organizations, their leaders, members, or volunteers based on their submission of reports and other activities to regional and international human rights protection mechanisms would violate freedom of association.</w:t>
      </w:r>
    </w:p>
    <w:p w:rsidR="00000000" w:rsidDel="00000000" w:rsidP="00000000" w:rsidRDefault="00000000" w:rsidRPr="00000000" w14:paraId="00000032">
      <w:pPr>
        <w:numPr>
          <w:ilvl w:val="0"/>
          <w:numId w:val="1"/>
        </w:numPr>
        <w:spacing w:after="0" w:before="200" w:line="276" w:lineRule="auto"/>
        <w:ind w:left="720" w:hanging="360"/>
        <w:jc w:val="both"/>
        <w:rPr>
          <w:u w:val="none"/>
        </w:rPr>
      </w:pPr>
      <w:r w:rsidDel="00000000" w:rsidR="00000000" w:rsidRPr="00000000">
        <w:rPr>
          <w:rtl w:val="0"/>
        </w:rPr>
        <w:t xml:space="preserve">Legal and administrative regulations that meet the needs of organizations and support the development of civil society are essential for the implementation of freedom of association. Regulations that are consistent with international human rights standards and appropriate to today's social and technological conditions should be adopted regarding the procedures to be followed, the rules to be complied with, and application procedures for individuals and organizations wishing to exercise their freedom of association, and rights holders should be regularly informed on these matters. The General Comment should emphasize that the limits of the discretionary power of administrative authorities must be clear and encourage States to implement a transparent and participatory decision-making process for an enabling legal framework, in which rights defenders and CSOs can participate. </w:t>
      </w:r>
    </w:p>
    <w:p w:rsidR="00000000" w:rsidDel="00000000" w:rsidP="00000000" w:rsidRDefault="00000000" w:rsidRPr="00000000" w14:paraId="00000033">
      <w:pPr>
        <w:numPr>
          <w:ilvl w:val="0"/>
          <w:numId w:val="1"/>
        </w:numPr>
        <w:spacing w:after="0" w:before="200" w:line="276" w:lineRule="auto"/>
        <w:ind w:left="720" w:hanging="360"/>
        <w:jc w:val="both"/>
        <w:rPr>
          <w:u w:val="none"/>
        </w:rPr>
      </w:pPr>
      <w:r w:rsidDel="00000000" w:rsidR="00000000" w:rsidRPr="00000000">
        <w:rPr>
          <w:rtl w:val="0"/>
        </w:rPr>
        <w:t xml:space="preserve">Thanks to advances in information technology, civil society actors now have greater capacity to organize and take action, and digital tools have also come to play an important role in freedom of association. Therefore, when defining the positive obligations of States, the General Comment should also include measures that facilitate the presence of civil society organizations in the digital environment, such as the establishment of online organizations, the digitalisation of reporting and notification obligations, ensuring equal access to the internet and digital technologies for organizations, and taking necessary measures to protect organizations from digital attacks and threats. Similarly, the negative impact of restricting freedom of association online, particularly through censorship and surveillance technologies, should be acknowledged. It should also be made clear that the negative obligations of states and the circumstances in which freedom of association may be restricted apply to digital platforms too.</w:t>
      </w:r>
    </w:p>
    <w:p w:rsidR="00000000" w:rsidDel="00000000" w:rsidP="00000000" w:rsidRDefault="00000000" w:rsidRPr="00000000" w14:paraId="00000034">
      <w:pPr>
        <w:numPr>
          <w:ilvl w:val="0"/>
          <w:numId w:val="1"/>
        </w:numPr>
        <w:spacing w:after="0" w:before="200" w:line="276" w:lineRule="auto"/>
        <w:ind w:left="720" w:hanging="360"/>
        <w:jc w:val="both"/>
        <w:rPr>
          <w:u w:val="none"/>
        </w:rPr>
      </w:pPr>
      <w:r w:rsidDel="00000000" w:rsidR="00000000" w:rsidRPr="00000000">
        <w:rPr>
          <w:rtl w:val="0"/>
        </w:rPr>
        <w:t xml:space="preserve">The Committee, recalling Articles 2, 3, and 26 of the Covenant in the ninth paragraph of the concept note, stated that the prohibition of discrimination is among the obligations of States regarding freedom of association. This prohibits the denial of access to forms of association on grounds such as race, color, gender identity, and sexual orientation, language, religion, political or other opinion, national or social origin, property, birth, or other status. It also prohibits discrimination between organizations in terms of access to resources, participation in policy processes, implementation of legislation, etc. Nevertheless, one of the main methods used by governments to sideline independent civil society organisations is to discriminate in favour of certain organisations with similar ideologies to the government when applying the administrative and legal framework that regulates freedom of association, the use of public resources, and access to dialogue and participation mechanisms.</w:t>
      </w:r>
      <w:r w:rsidDel="00000000" w:rsidR="00000000" w:rsidRPr="00000000">
        <w:rPr>
          <w:vertAlign w:val="superscript"/>
        </w:rPr>
        <w:footnoteReference w:customMarkFollows="0" w:id="4"/>
      </w:r>
      <w:r w:rsidDel="00000000" w:rsidR="00000000" w:rsidRPr="00000000">
        <w:rPr>
          <w:rtl w:val="0"/>
        </w:rPr>
        <w:t xml:space="preserve"> The favoring of certain organizations by States on the grounds of specific ideological, political, or value-based affinities, while excluding others; creating a de facto distinction between 'acceptable' and 'illegitimate' organizations in the civil society sphere, should be considered a discriminatory intervention incompatible with the essence of freedom of association, as well as Articles 2, 3, 22, and 26 of the Convention. These discriminatory policies have resulted in the spread of anti-rights rhetoric and the narrowing of the scope of action of independent civil society organizations at the national, regional, and international levels, thereby depriving them of their ability to shape and transform society. The Committee should emphasize in its General Comment that any discrimination against freedom of association must be prohibited in national legislation.</w:t>
      </w:r>
    </w:p>
    <w:p w:rsidR="00000000" w:rsidDel="00000000" w:rsidP="00000000" w:rsidRDefault="00000000" w:rsidRPr="00000000" w14:paraId="00000035">
      <w:pPr>
        <w:numPr>
          <w:ilvl w:val="0"/>
          <w:numId w:val="1"/>
        </w:numPr>
        <w:spacing w:after="0" w:before="200" w:line="276" w:lineRule="auto"/>
        <w:ind w:left="720" w:hanging="360"/>
        <w:jc w:val="both"/>
        <w:rPr>
          <w:u w:val="none"/>
        </w:rPr>
      </w:pPr>
      <w:r w:rsidDel="00000000" w:rsidR="00000000" w:rsidRPr="00000000">
        <w:rPr>
          <w:rtl w:val="0"/>
        </w:rPr>
        <w:t xml:space="preserve">To protect and effectively exercise freedom of association, States may implement positive measures such as allocating public resources to organisations, granting special statuses such as public benefit organisation status, providing tax incentives for donations to these organisations and exempting them from certain permit procedures. The General Comment should remind that these must be implemented in an equitable and inclusive manner</w:t>
      </w:r>
      <w:r w:rsidDel="00000000" w:rsidR="00000000" w:rsidRPr="00000000">
        <w:rPr>
          <w:color w:val="1f1f1f"/>
          <w:highlight w:val="white"/>
          <w:rtl w:val="0"/>
        </w:rPr>
        <w:t xml:space="preserve">.</w:t>
      </w:r>
      <w:r w:rsidDel="00000000" w:rsidR="00000000" w:rsidRPr="00000000">
        <w:rPr>
          <w:rtl w:val="0"/>
        </w:rPr>
      </w:r>
    </w:p>
    <w:p w:rsidR="00000000" w:rsidDel="00000000" w:rsidP="00000000" w:rsidRDefault="00000000" w:rsidRPr="00000000" w14:paraId="00000036">
      <w:pPr>
        <w:numPr>
          <w:ilvl w:val="0"/>
          <w:numId w:val="1"/>
        </w:numPr>
        <w:spacing w:after="0" w:before="200" w:line="276" w:lineRule="auto"/>
        <w:ind w:left="720" w:hanging="360"/>
        <w:jc w:val="both"/>
        <w:rPr>
          <w:u w:val="none"/>
        </w:rPr>
      </w:pPr>
      <w:r w:rsidDel="00000000" w:rsidR="00000000" w:rsidRPr="00000000">
        <w:rPr>
          <w:rtl w:val="0"/>
        </w:rPr>
        <w:t xml:space="preserve">The General Comment should state that States have an obligation to take positive action, including providing training, financial support, and security measures, to eliminate structural barriers and achieve substantive equality in the access to freedom of association by, in particular, children, persons with disabilities, women, LGBTQI+ persons, ethnic or religious minorities, and older persons. The procedures for the establishment, registration, audits, reporting, and taxation of organizations should be simplified for these groups. </w:t>
      </w:r>
    </w:p>
    <w:p w:rsidR="00000000" w:rsidDel="00000000" w:rsidP="00000000" w:rsidRDefault="00000000" w:rsidRPr="00000000" w14:paraId="00000037">
      <w:pPr>
        <w:numPr>
          <w:ilvl w:val="0"/>
          <w:numId w:val="1"/>
        </w:numPr>
        <w:spacing w:after="0" w:before="200" w:line="276" w:lineRule="auto"/>
        <w:ind w:left="720" w:hanging="360"/>
        <w:jc w:val="both"/>
        <w:rPr>
          <w:u w:val="none"/>
        </w:rPr>
      </w:pPr>
      <w:r w:rsidDel="00000000" w:rsidR="00000000" w:rsidRPr="00000000">
        <w:rPr>
          <w:rtl w:val="0"/>
        </w:rPr>
        <w:t xml:space="preserve">Inspections, which should only be conducted in cases of serious violations of the law</w:t>
      </w:r>
      <w:r w:rsidDel="00000000" w:rsidR="00000000" w:rsidRPr="00000000">
        <w:rPr>
          <w:vertAlign w:val="superscript"/>
        </w:rPr>
        <w:footnoteReference w:customMarkFollows="0" w:id="5"/>
      </w:r>
      <w:r w:rsidDel="00000000" w:rsidR="00000000" w:rsidRPr="00000000">
        <w:rPr>
          <w:rtl w:val="0"/>
        </w:rPr>
        <w:t xml:space="preserve"> , are based on vague, subjective criteria due to the broad interpretation and misuse of the Financial Action Task Force's recommendations on combating money laundering and terrorist financing by States</w:t>
      </w:r>
      <w:r w:rsidDel="00000000" w:rsidR="00000000" w:rsidRPr="00000000">
        <w:rPr>
          <w:vertAlign w:val="superscript"/>
        </w:rPr>
        <w:footnoteReference w:customMarkFollows="0" w:id="6"/>
      </w:r>
      <w:r w:rsidDel="00000000" w:rsidR="00000000" w:rsidRPr="00000000">
        <w:rPr>
          <w:vertAlign w:val="superscript"/>
          <w:rtl w:val="0"/>
        </w:rPr>
        <w:t xml:space="preserve">  </w:t>
      </w:r>
      <w:r w:rsidDel="00000000" w:rsidR="00000000" w:rsidRPr="00000000">
        <w:rPr>
          <w:rtl w:val="0"/>
        </w:rPr>
        <w:t xml:space="preserve">and are being used as a tool to intimidate organizations that defend rights or are considered as "ideologically unacceptable”. The General Comment should emphasise that the legality of civil society organizations and their activities is fundamental, and that inspections should be based on the principle that organizations should be free to determine their own objectives and activities. It should state that the grounds and procedures for inspections must be clearly defined in a transparent and objective manner that does not permit discrimination, arbitrary application or interference in the internal functioning of organisations. </w:t>
      </w:r>
    </w:p>
    <w:p w:rsidR="00000000" w:rsidDel="00000000" w:rsidP="00000000" w:rsidRDefault="00000000" w:rsidRPr="00000000" w14:paraId="00000038">
      <w:pPr>
        <w:numPr>
          <w:ilvl w:val="0"/>
          <w:numId w:val="1"/>
        </w:numPr>
        <w:spacing w:after="0" w:before="200" w:line="276" w:lineRule="auto"/>
        <w:ind w:left="720" w:hanging="360"/>
        <w:jc w:val="both"/>
        <w:rPr>
          <w:u w:val="none"/>
        </w:rPr>
      </w:pPr>
      <w:r w:rsidDel="00000000" w:rsidR="00000000" w:rsidRPr="00000000">
        <w:rPr>
          <w:rtl w:val="0"/>
        </w:rPr>
        <w:t xml:space="preserve">The reporting and notification obligations of civil society organizations should not be more demanding, burdensome, or complex than those expected of companies or other legal entities. The General Comment should underscore the obligation of States to simplify reporting procedures and inform organizations about them. </w:t>
      </w:r>
    </w:p>
    <w:p w:rsidR="00000000" w:rsidDel="00000000" w:rsidP="00000000" w:rsidRDefault="00000000" w:rsidRPr="00000000" w14:paraId="00000039">
      <w:pPr>
        <w:numPr>
          <w:ilvl w:val="0"/>
          <w:numId w:val="1"/>
        </w:numPr>
        <w:spacing w:after="0" w:before="200" w:line="276" w:lineRule="auto"/>
        <w:ind w:left="720" w:hanging="360"/>
        <w:jc w:val="both"/>
        <w:rPr>
          <w:u w:val="none"/>
        </w:rPr>
      </w:pPr>
      <w:r w:rsidDel="00000000" w:rsidR="00000000" w:rsidRPr="00000000">
        <w:rPr>
          <w:rtl w:val="0"/>
        </w:rPr>
        <w:t xml:space="preserve">Administrative and legal sanctions based on deficiencies identified during inspections, failure to comply with reporting requirements, and violations of already restrictive legislation are applied in a highly disproportionate manner with the aim of punishing organizations and deterring them from exercising their freedom of association. It must be acknowledged that the security-oriented approach to the inspection mechanism for CSOs has eroded the function of inspections to provide guidance to organizations on their rights and responsibilities. The Committee should remind States that the existence of a warning mechanism to address deficiencies is essential and call on them to refrain from penalties and sanctions except in cases of serious violations. It should emphasise that inspections based on neither reasonable suspicion nor valid grounds, which render organisations unable to function due to their length, constitute unjustified interference. </w:t>
      </w:r>
    </w:p>
    <w:p w:rsidR="00000000" w:rsidDel="00000000" w:rsidP="00000000" w:rsidRDefault="00000000" w:rsidRPr="00000000" w14:paraId="0000003A">
      <w:pPr>
        <w:numPr>
          <w:ilvl w:val="0"/>
          <w:numId w:val="1"/>
        </w:numPr>
        <w:spacing w:after="0" w:before="200" w:line="276" w:lineRule="auto"/>
        <w:ind w:left="720" w:hanging="360"/>
        <w:jc w:val="both"/>
        <w:rPr>
          <w:u w:val="none"/>
        </w:rPr>
      </w:pPr>
      <w:r w:rsidDel="00000000" w:rsidR="00000000" w:rsidRPr="00000000">
        <w:rPr>
          <w:rtl w:val="0"/>
        </w:rPr>
        <w:t xml:space="preserve">It has been repeatedly stated by regional and international human rights mechanisms such as the ECtHR, the Venice Commission, OSCE/ODIHR, and the UN Special Rapporteur that the closure of organizations and the prohibition of their activities constitute one of the most serious sanctions against freedom of association and should only be used as a last resort in cases of serious violations. Nevertheless, interventions by States in this direction continue both in Turkey and elsewhere.</w:t>
      </w:r>
      <w:r w:rsidDel="00000000" w:rsidR="00000000" w:rsidRPr="00000000">
        <w:rPr>
          <w:vertAlign w:val="superscript"/>
        </w:rPr>
        <w:footnoteReference w:customMarkFollows="0" w:id="7"/>
      </w:r>
      <w:r w:rsidDel="00000000" w:rsidR="00000000" w:rsidRPr="00000000">
        <w:rPr>
          <w:rtl w:val="0"/>
        </w:rPr>
        <w:t xml:space="preserve"> The General Comment should emphasize that such prohibitions can only be considered legitimate if violence or serious violations are present, and only through independent and objective judicial decisions. </w:t>
      </w:r>
    </w:p>
    <w:p w:rsidR="00000000" w:rsidDel="00000000" w:rsidP="00000000" w:rsidRDefault="00000000" w:rsidRPr="00000000" w14:paraId="0000003B">
      <w:pPr>
        <w:numPr>
          <w:ilvl w:val="0"/>
          <w:numId w:val="1"/>
        </w:numPr>
        <w:spacing w:after="0" w:before="200" w:line="276" w:lineRule="auto"/>
        <w:ind w:left="720" w:hanging="360"/>
        <w:jc w:val="both"/>
        <w:rPr>
          <w:u w:val="none"/>
        </w:rPr>
      </w:pPr>
      <w:r w:rsidDel="00000000" w:rsidR="00000000" w:rsidRPr="00000000">
        <w:rPr>
          <w:rtl w:val="0"/>
        </w:rPr>
        <w:t xml:space="preserve">The right to privacy of individuals and organizations should be considered an integral part of freedom of association. The General Comment should clearly state that states should not demand that organisations share personal data and information that could endanger the safety of their members or volunteers, expose them to pressure and discrimination, or cause them to stop organising. It should be emphasized that the protection of the personal data and communications of members, volunteers, managers, and legal representatives of organizations constitutes the essence of freedom of association, and that the collection, storage and use of such data must be subject to strict legal oversight to prevent any arbitrary interference.</w:t>
      </w:r>
    </w:p>
    <w:p w:rsidR="00000000" w:rsidDel="00000000" w:rsidP="00000000" w:rsidRDefault="00000000" w:rsidRPr="00000000" w14:paraId="0000003C">
      <w:pPr>
        <w:numPr>
          <w:ilvl w:val="0"/>
          <w:numId w:val="1"/>
        </w:numPr>
        <w:spacing w:after="0" w:before="200" w:line="276" w:lineRule="auto"/>
        <w:ind w:left="720" w:hanging="360"/>
        <w:jc w:val="both"/>
        <w:rPr>
          <w:u w:val="none"/>
        </w:rPr>
      </w:pPr>
      <w:r w:rsidDel="00000000" w:rsidR="00000000" w:rsidRPr="00000000">
        <w:rPr>
          <w:rtl w:val="0"/>
        </w:rPr>
        <w:t xml:space="preserve">The need for an independent, transparent, accessible and effective remedy for the investigation and redress of violations arising from the disproportionate, arbitrary, and discriminatory use of administrative powers should be stated. The Committee should remind States that lengthy complaint procedures are ineffective in stopping violations of freedom of association and deterring future violations, and should emphasize the States’ obligation to conduct prompt investigations. It should be noted that the remedies available against administrative decisions violating freedom of association must have the power to suspend the implementation of the decision in a timely manner, and that judicial remedies should not be limited to compensation but should also include the removal of unlawful restrictions and offer guarantees against impunity and recurrence.</w:t>
      </w:r>
    </w:p>
    <w:p w:rsidR="00000000" w:rsidDel="00000000" w:rsidP="00000000" w:rsidRDefault="00000000" w:rsidRPr="00000000" w14:paraId="0000003D">
      <w:pPr>
        <w:numPr>
          <w:ilvl w:val="0"/>
          <w:numId w:val="1"/>
        </w:numPr>
        <w:spacing w:after="200" w:before="200" w:line="276" w:lineRule="auto"/>
        <w:ind w:left="720" w:hanging="360"/>
        <w:jc w:val="both"/>
        <w:rPr>
          <w:u w:val="none"/>
        </w:rPr>
      </w:pPr>
      <w:r w:rsidDel="00000000" w:rsidR="00000000" w:rsidRPr="00000000">
        <w:rPr>
          <w:rtl w:val="0"/>
        </w:rPr>
        <w:t xml:space="preserve">The General Comment should underscore the need for legal reforms required by the rulings of high judicial bodies and international courts. It should state that national human rights institutions must monitor states' obligations with regard to freedom of association, formulate policy and legal recommendations, and report to international mechanisms. </w:t>
      </w:r>
    </w:p>
    <w:p w:rsidR="00000000" w:rsidDel="00000000" w:rsidP="00000000" w:rsidRDefault="00000000" w:rsidRPr="00000000" w14:paraId="0000003E">
      <w:pPr>
        <w:spacing w:after="200" w:before="200" w:line="276" w:lineRule="auto"/>
        <w:ind w:left="0" w:firstLine="0"/>
        <w:jc w:val="both"/>
        <w:rPr>
          <w:b w:val="1"/>
          <w:bCs w:val="1"/>
          <w:i w:val="1"/>
          <w:iCs w:val="1"/>
        </w:rPr>
      </w:pPr>
      <w:r w:rsidDel="00000000" w:rsidR="00000000" w:rsidRPr="00000000">
        <w:rPr>
          <w:b w:val="1"/>
          <w:bCs w:val="1"/>
          <w:rtl w:val="0"/>
        </w:rPr>
        <w:t xml:space="preserve">Restrictions</w:t>
      </w:r>
      <w:r w:rsidDel="00000000" w:rsidR="00000000" w:rsidRPr="00000000">
        <w:rPr>
          <w:rtl w:val="0"/>
        </w:rPr>
      </w:r>
    </w:p>
    <w:p w:rsidR="00000000" w:rsidDel="00000000" w:rsidP="00000000" w:rsidRDefault="00000000" w:rsidRPr="00000000" w14:paraId="0000003F">
      <w:pPr>
        <w:numPr>
          <w:ilvl w:val="0"/>
          <w:numId w:val="1"/>
        </w:numPr>
        <w:spacing w:after="200" w:before="200" w:line="276" w:lineRule="auto"/>
        <w:ind w:left="720" w:hanging="360"/>
        <w:jc w:val="both"/>
        <w:rPr>
          <w:u w:val="none"/>
        </w:rPr>
      </w:pPr>
      <w:r w:rsidDel="00000000" w:rsidR="00000000" w:rsidRPr="00000000">
        <w:rPr>
          <w:rtl w:val="0"/>
        </w:rPr>
        <w:t xml:space="preserve">As freedom of association is not considered an absolute right, it is accepted that it may be restricted in certain circumstances. As it has emphasized in its previous General Comments, the Committee should reiterate that restrictions on freedom of association must be exceptional in nature and narrowly interpreted. The General Comment should reiterate that any measure or restriction derogating from the Covenant may only be justified if it is reasonable, prescribed by law, serves a legitimate aim, and is necessary in a democratic society and to the extent required by the circumstances. In addition to the requirement that any restriction must be legitimate and proportionate to the aim pursued, the obligation to use the least restrictive means possible, as a last resort, should be reinforced. Furthermore, as set out in General Comment 37, the obligation of States to justify any potential restrictions should be emphasised.</w:t>
      </w:r>
      <w:r w:rsidDel="00000000" w:rsidR="00000000" w:rsidRPr="00000000">
        <w:rPr>
          <w:vertAlign w:val="superscript"/>
        </w:rPr>
        <w:footnoteReference w:customMarkFollows="0" w:id="8"/>
      </w:r>
      <w:r w:rsidDel="00000000" w:rsidR="00000000" w:rsidRPr="00000000">
        <w:rPr>
          <w:rtl w:val="0"/>
        </w:rPr>
        <w:t xml:space="preserve"> </w:t>
      </w:r>
    </w:p>
    <w:p w:rsidR="00000000" w:rsidDel="00000000" w:rsidP="00000000" w:rsidRDefault="00000000" w:rsidRPr="00000000" w14:paraId="00000040">
      <w:pPr>
        <w:numPr>
          <w:ilvl w:val="0"/>
          <w:numId w:val="1"/>
        </w:numPr>
        <w:spacing w:after="0" w:before="200" w:line="276" w:lineRule="auto"/>
        <w:ind w:left="720" w:hanging="360"/>
        <w:jc w:val="both"/>
        <w:rPr>
          <w:u w:val="none"/>
        </w:rPr>
      </w:pPr>
      <w:r w:rsidDel="00000000" w:rsidR="00000000" w:rsidRPr="00000000">
        <w:rPr>
          <w:rtl w:val="0"/>
        </w:rPr>
        <w:t xml:space="preserve">It should be emphasized that even in the event of a declaration of a state of emergency (Article 4), the freedom of association may be restricted only to the extent that is necessary and temporary, in a non-discriminatory manner, and without undermining the essence of the right. Furthermore, the General Comment should explicitly state that the blanket and indefinite suspension of the activities of organizations working on human rights, anti-torture, or humanitarian aid on the grounds of a state of emergency is not a proportionate restriction.</w:t>
      </w:r>
    </w:p>
    <w:p w:rsidR="00000000" w:rsidDel="00000000" w:rsidP="00000000" w:rsidRDefault="00000000" w:rsidRPr="00000000" w14:paraId="00000041">
      <w:pPr>
        <w:numPr>
          <w:ilvl w:val="0"/>
          <w:numId w:val="1"/>
        </w:numPr>
        <w:spacing w:after="0" w:before="200" w:line="259" w:lineRule="auto"/>
        <w:ind w:left="720" w:hanging="360"/>
        <w:jc w:val="both"/>
        <w:rPr>
          <w:u w:val="none"/>
        </w:rPr>
      </w:pPr>
      <w:r w:rsidDel="00000000" w:rsidR="00000000" w:rsidRPr="00000000">
        <w:rPr>
          <w:rtl w:val="0"/>
        </w:rPr>
        <w:t xml:space="preserve">Considering that freedom of association is inextricably linked to freedom of thought, conscience and religion; freedom of religion or belief; and the right of minorities to enjoy their own culture, profess their religion or use their own language</w:t>
      </w:r>
      <w:r w:rsidDel="00000000" w:rsidR="00000000" w:rsidRPr="00000000">
        <w:rPr>
          <w:vertAlign w:val="superscript"/>
        </w:rPr>
        <w:footnoteReference w:customMarkFollows="0" w:id="9"/>
      </w:r>
      <w:r w:rsidDel="00000000" w:rsidR="00000000" w:rsidRPr="00000000">
        <w:rPr>
          <w:rtl w:val="0"/>
        </w:rPr>
        <w:t xml:space="preserve"> — all of which are subject to no reservations in the Convention — the Committee should state that any reservations made by States to Article 22 shall be deemed invalid if they are incompatible with the spirit of the Convention and the core content of freedom of association (i.e. the right to establish, join and engage in independent activities). The fact that the derogation regime can never be applied in a way that eliminates the essence of the right should be included as one of the fundamental norms in the General Comment. </w:t>
      </w:r>
    </w:p>
    <w:p w:rsidR="00000000" w:rsidDel="00000000" w:rsidP="00000000" w:rsidRDefault="00000000" w:rsidRPr="00000000" w14:paraId="00000042">
      <w:pPr>
        <w:numPr>
          <w:ilvl w:val="0"/>
          <w:numId w:val="1"/>
        </w:numPr>
        <w:spacing w:after="0" w:before="200" w:line="276" w:lineRule="auto"/>
        <w:ind w:left="720" w:hanging="360"/>
        <w:jc w:val="both"/>
        <w:rPr>
          <w:u w:val="none"/>
        </w:rPr>
      </w:pPr>
      <w:r w:rsidDel="00000000" w:rsidR="00000000" w:rsidRPr="00000000">
        <w:rPr>
          <w:rtl w:val="0"/>
        </w:rPr>
        <w:t xml:space="preserve">The Special Rapporteur on the Rights to Freedom of Peaceful Assembly and Association, in their latest report to the UN General Assembly, highlighted that States are increasingly suppressing civic freedoms under the pretext of security and sovereignty.</w:t>
      </w:r>
      <w:r w:rsidDel="00000000" w:rsidR="00000000" w:rsidRPr="00000000">
        <w:rPr>
          <w:vertAlign w:val="superscript"/>
        </w:rPr>
        <w:footnoteReference w:customMarkFollows="0" w:id="10"/>
      </w:r>
      <w:r w:rsidDel="00000000" w:rsidR="00000000" w:rsidRPr="00000000">
        <w:rPr>
          <w:rtl w:val="0"/>
        </w:rPr>
        <w:t xml:space="preserve"> The Committee should make it clear that the concepts listed as grounds for restriction in the second paragraph of Article 22 of the Covenant (national security, public safety, public order, public health or morals) should be interpreted as narrowly as possible, to avoid arbitrary restrictions on freedom of association.</w:t>
      </w:r>
      <w:r w:rsidDel="00000000" w:rsidR="00000000" w:rsidRPr="00000000">
        <w:rPr>
          <w:vertAlign w:val="superscript"/>
        </w:rPr>
        <w:footnoteReference w:customMarkFollows="0" w:id="11"/>
      </w:r>
      <w:r w:rsidDel="00000000" w:rsidR="00000000" w:rsidRPr="00000000">
        <w:rPr>
          <w:rtl w:val="0"/>
        </w:rPr>
        <w:t xml:space="preserve"> It should be explicitly stated that these grounds cannot be used to restrict the activities of organizations without a judicial decision that is subject to review and by granting broad discretionary powers to administrative authorities, and that restrictions cannot be directed solely at a specific protected group (minorities, children, LGBT+ individuals, etc.). Given that it has become a trend in many countries for public authorities to intervene in organizations working for gender equality and/or LGBTQI+ rights, particularly on the grounds of public morality, the scope of interventions on the grounds of "morality" must be defined as clearly as possible.</w:t>
      </w:r>
    </w:p>
    <w:p w:rsidR="00000000" w:rsidDel="00000000" w:rsidP="00000000" w:rsidRDefault="00000000" w:rsidRPr="00000000" w14:paraId="00000043">
      <w:pPr>
        <w:numPr>
          <w:ilvl w:val="0"/>
          <w:numId w:val="1"/>
        </w:numPr>
        <w:spacing w:after="0" w:before="200" w:line="276" w:lineRule="auto"/>
        <w:ind w:left="720" w:hanging="360"/>
        <w:jc w:val="both"/>
        <w:rPr>
          <w:u w:val="none"/>
        </w:rPr>
      </w:pPr>
      <w:r w:rsidDel="00000000" w:rsidR="00000000" w:rsidRPr="00000000">
        <w:rPr>
          <w:rtl w:val="0"/>
        </w:rPr>
        <w:t xml:space="preserve">In its 2012 review of Turkey, the Committee expressed concern about the vagueness and the lack of clarity of the definition of "illegal organization," noting its restrictive effect on freedom of association, and stated that Turkey must clearly limit this concept to fully comply with Article 22.</w:t>
      </w:r>
      <w:r w:rsidDel="00000000" w:rsidR="00000000" w:rsidRPr="00000000">
        <w:rPr>
          <w:vertAlign w:val="superscript"/>
        </w:rPr>
        <w:footnoteReference w:customMarkFollows="0" w:id="12"/>
      </w:r>
      <w:r w:rsidDel="00000000" w:rsidR="00000000" w:rsidRPr="00000000">
        <w:rPr>
          <w:rtl w:val="0"/>
        </w:rPr>
        <w:t xml:space="preserve"> In light of this observation, the Committee should emphasize that restrictions on freedom of association legitimized by characterisations such as "illegal organization," "criminal organization," or similar terms, as well as derivative concepts such as "membership," "affiliation," "connection," "aiding," or "supporting" alleged to be linked to such organisations pose a serious risk of violation under Article 22 due to their vague, broad, or unpredictable interpretation and that interventions based on these concepts must be grounded in individualized assessments, clear and predictable legal criteria, and concrete evidence, rather than merely formal or presumptive links.</w:t>
      </w:r>
    </w:p>
    <w:p w:rsidR="00000000" w:rsidDel="00000000" w:rsidP="00000000" w:rsidRDefault="00000000" w:rsidRPr="00000000" w14:paraId="00000044">
      <w:pPr>
        <w:numPr>
          <w:ilvl w:val="0"/>
          <w:numId w:val="1"/>
        </w:numPr>
        <w:spacing w:after="0" w:before="200" w:line="276" w:lineRule="auto"/>
        <w:ind w:left="720" w:hanging="360"/>
        <w:jc w:val="both"/>
        <w:rPr>
          <w:u w:val="none"/>
        </w:rPr>
      </w:pPr>
      <w:r w:rsidDel="00000000" w:rsidR="00000000" w:rsidRPr="00000000">
        <w:rPr>
          <w:rtl w:val="0"/>
        </w:rPr>
        <w:t xml:space="preserve">Acknowledging that freedom of association is increasingly being restricted in a systematic and permanent manner worldwide on the grounds of security, counter-terrorism, regulations concerning foreign funding and espionage, and the protection of public order, the Committee should underscore that this trend carries the risk of transforming restrictions on freedom of association from exceptional measures into ordinary governance tools, thereby shrinking civic space. Therefore, the General Comment should state that the aforementioned justifications put forward under Article 22(2) must be interpreted in a narrow, precise, and predictable manner, in line with the principles set out in General Comments No. 29 and No. 37, and that restrictions imposed on the basis of these justifications cannot be automatically or collectively legitimized in ordinary or extraordinary circumstances.</w:t>
      </w:r>
    </w:p>
    <w:p w:rsidR="00000000" w:rsidDel="00000000" w:rsidP="00000000" w:rsidRDefault="00000000" w:rsidRPr="00000000" w14:paraId="00000045">
      <w:pPr>
        <w:numPr>
          <w:ilvl w:val="0"/>
          <w:numId w:val="1"/>
        </w:numPr>
        <w:spacing w:after="200" w:before="200" w:line="276" w:lineRule="auto"/>
        <w:ind w:left="720" w:hanging="360"/>
        <w:jc w:val="both"/>
        <w:rPr>
          <w:u w:val="none"/>
        </w:rPr>
      </w:pPr>
      <w:r w:rsidDel="00000000" w:rsidR="00000000" w:rsidRPr="00000000">
        <w:rPr>
          <w:rtl w:val="0"/>
        </w:rPr>
        <w:t xml:space="preserve">The Venice Commission emphasizes that the availability of the financial means necessary for associations to carry out their activities is a natural and indispensable element of freedom of association.</w:t>
      </w:r>
      <w:r w:rsidDel="00000000" w:rsidR="00000000" w:rsidRPr="00000000">
        <w:rPr>
          <w:vertAlign w:val="superscript"/>
        </w:rPr>
        <w:footnoteReference w:customMarkFollows="0" w:id="13"/>
      </w:r>
      <w:r w:rsidDel="00000000" w:rsidR="00000000" w:rsidRPr="00000000">
        <w:rPr>
          <w:rtl w:val="0"/>
        </w:rPr>
        <w:t xml:space="preserve"> Referring to the Guiding Principles on Freedom of Association prepared jointly with the OSCE/ODIHR, the Commission clearly states that freedom of association loses its meaning if individuals and associations are prevented from accessing different sources of funding, including public or private, domestic or foreign, national or international sources. This approach demonstrates that access to funding is not merely a complementary element of freedom of association, but a prerequisite for the effective exercise of this right. Therefore, the General Comment should consider interference with funding as a direct restriction of rights under Article 22 of the Convention.</w:t>
      </w:r>
    </w:p>
    <w:p w:rsidR="00000000" w:rsidDel="00000000" w:rsidP="00000000" w:rsidRDefault="00000000" w:rsidRPr="00000000" w14:paraId="00000046">
      <w:pPr>
        <w:spacing w:after="200" w:before="200" w:line="276" w:lineRule="auto"/>
        <w:jc w:val="both"/>
        <w:rPr>
          <w:b w:val="1"/>
          <w:bCs w:val="1"/>
        </w:rPr>
      </w:pPr>
      <w:r w:rsidDel="00000000" w:rsidR="00000000" w:rsidRPr="00000000">
        <w:rPr>
          <w:b w:val="1"/>
          <w:bCs w:val="1"/>
          <w:rtl w:val="0"/>
        </w:rPr>
        <w:t xml:space="preserve">Interference with freedom of association by non-state actors</w:t>
      </w:r>
    </w:p>
    <w:p w:rsidR="00000000" w:rsidDel="00000000" w:rsidP="00000000" w:rsidRDefault="00000000" w:rsidRPr="00000000" w14:paraId="00000047">
      <w:pPr>
        <w:numPr>
          <w:ilvl w:val="0"/>
          <w:numId w:val="1"/>
        </w:numPr>
        <w:spacing w:after="200" w:before="200" w:line="276" w:lineRule="auto"/>
        <w:ind w:left="720" w:hanging="360"/>
        <w:jc w:val="both"/>
        <w:rPr>
          <w:u w:val="none"/>
        </w:rPr>
      </w:pPr>
      <w:r w:rsidDel="00000000" w:rsidR="00000000" w:rsidRPr="00000000">
        <w:rPr>
          <w:rtl w:val="0"/>
        </w:rPr>
        <w:t xml:space="preserve">Sometimes, civil society organizations have to deal with pressure and threats from the private sector and various interest groups. Strategic lawsuits against public participation (SLAPPs), increasingly used by private sector actors, target activists, environmental organizations, human rights defenders, journalists and CSOs, serving as a tool to intimidate civil actors who contribute to public rights and interests.</w:t>
      </w:r>
      <w:r w:rsidDel="00000000" w:rsidR="00000000" w:rsidRPr="00000000">
        <w:rPr>
          <w:vertAlign w:val="superscript"/>
        </w:rPr>
        <w:footnoteReference w:customMarkFollows="0" w:id="14"/>
      </w:r>
      <w:r w:rsidDel="00000000" w:rsidR="00000000" w:rsidRPr="00000000">
        <w:rPr>
          <w:rtl w:val="0"/>
        </w:rPr>
        <w:t xml:space="preserve"> Reminding States’ obligations to ensure respect for freedom of association in the activities and business relations of enterprises,</w:t>
      </w:r>
      <w:r w:rsidDel="00000000" w:rsidR="00000000" w:rsidRPr="00000000">
        <w:rPr>
          <w:vertAlign w:val="superscript"/>
        </w:rPr>
        <w:footnoteReference w:customMarkFollows="0" w:id="15"/>
      </w:r>
      <w:r w:rsidDel="00000000" w:rsidR="00000000" w:rsidRPr="00000000">
        <w:rPr>
          <w:rtl w:val="0"/>
        </w:rPr>
        <w:t xml:space="preserve"> the General Comment should call on States to take protective measures against such interventions by private actors. These measures may include regulations allowing for the dismissal of cases that are clearly unfounded or abusive, safeguards against disproportionate and deterrent compensation claims, and appropriate legal frameworks to prevent the deployment of judicial processes in a manner that have restricts freedom of association.</w:t>
      </w:r>
    </w:p>
    <w:p w:rsidR="00000000" w:rsidDel="00000000" w:rsidP="00000000" w:rsidRDefault="00000000" w:rsidRPr="00000000" w14:paraId="00000048">
      <w:pPr>
        <w:numPr>
          <w:ilvl w:val="0"/>
          <w:numId w:val="1"/>
        </w:numPr>
        <w:spacing w:after="0" w:before="200" w:line="276" w:lineRule="auto"/>
        <w:ind w:left="720" w:hanging="360"/>
        <w:jc w:val="both"/>
        <w:rPr>
          <w:u w:val="none"/>
        </w:rPr>
      </w:pPr>
      <w:r w:rsidDel="00000000" w:rsidR="00000000" w:rsidRPr="00000000">
        <w:rPr>
          <w:rtl w:val="0"/>
        </w:rPr>
        <w:t xml:space="preserve">The widespread use of information and communication technologies in civil society, while facilitating the work of organizations, has also created new risks and challenges to freedom of association due to the regulatory role unfairly assumed by digital technology companies. Algorithms shaped by social media companies' content policies promotes anti-rights discourse; prevents civil society actors from making their voices heard by large audiences and bringing about change; and thereby reproduces discrimination and prejudice.</w:t>
      </w:r>
      <w:r w:rsidDel="00000000" w:rsidR="00000000" w:rsidRPr="00000000">
        <w:rPr>
          <w:vertAlign w:val="superscript"/>
        </w:rPr>
        <w:footnoteReference w:customMarkFollows="0" w:id="16"/>
      </w:r>
      <w:r w:rsidDel="00000000" w:rsidR="00000000" w:rsidRPr="00000000">
        <w:rPr>
          <w:rtl w:val="0"/>
        </w:rPr>
        <w:t xml:space="preserve"> Furthermore, the uncontrolled storage of user data - including that of activists and organizations - the occasional sharing of this data with governments, constitutes one of the main violations of the right to privacy in the digital sphere. The General Comment should provide a restrictive framework for these interventions by digital technology and social media companies, emphasizing the due diligence they must conduct to avoid causing or contributing to violations of freedom of association.</w:t>
      </w:r>
      <w:r w:rsidDel="00000000" w:rsidR="00000000" w:rsidRPr="00000000">
        <w:rPr>
          <w:vertAlign w:val="superscript"/>
        </w:rPr>
        <w:footnoteReference w:customMarkFollows="0" w:id="17"/>
      </w:r>
      <w:r w:rsidDel="00000000" w:rsidR="00000000" w:rsidRPr="00000000">
        <w:rPr>
          <w:rtl w:val="0"/>
        </w:rPr>
        <w:t xml:space="preserve"> </w:t>
      </w:r>
    </w:p>
    <w:p w:rsidR="00000000" w:rsidDel="00000000" w:rsidP="00000000" w:rsidRDefault="00000000" w:rsidRPr="00000000" w14:paraId="00000049">
      <w:pPr>
        <w:numPr>
          <w:ilvl w:val="0"/>
          <w:numId w:val="1"/>
        </w:numPr>
        <w:spacing w:after="0" w:before="200" w:line="276" w:lineRule="auto"/>
        <w:ind w:left="720" w:hanging="360"/>
        <w:jc w:val="both"/>
        <w:rPr>
          <w:u w:val="none"/>
        </w:rPr>
      </w:pPr>
      <w:r w:rsidDel="00000000" w:rsidR="00000000" w:rsidRPr="00000000">
        <w:rPr>
          <w:rtl w:val="0"/>
        </w:rPr>
        <w:t xml:space="preserve">The termination of support for independent organizations by funders due to their varying sensitivities and priorities based on local, regional, and global developments</w:t>
      </w:r>
      <w:r w:rsidDel="00000000" w:rsidR="00000000" w:rsidRPr="00000000">
        <w:rPr>
          <w:vertAlign w:val="superscript"/>
        </w:rPr>
        <w:footnoteReference w:customMarkFollows="0" w:id="18"/>
      </w:r>
      <w:r w:rsidDel="00000000" w:rsidR="00000000" w:rsidRPr="00000000">
        <w:rPr>
          <w:rtl w:val="0"/>
        </w:rPr>
        <w:t xml:space="preserve"> or attempts to interfere with the activities of the organizations they fund (e.g., cutting grants to organizations showing solidarity with Palestine or avoiding supporting organizations working on issues that may conflict with government policies) can be considered among the threats and risks posed by non-state actors. In the General Comment, the Committee should remind funding organizations that human rights organizations also exist to defend ideas that may be considered sensitive or objectionable by the majority or may conflict with government policies. The Committee should also warn the funding organizations to avoid such discriminatory and illegitimate restrictions. </w:t>
      </w:r>
    </w:p>
    <w:p w:rsidR="00000000" w:rsidDel="00000000" w:rsidP="00000000" w:rsidRDefault="00000000" w:rsidRPr="00000000" w14:paraId="0000004A">
      <w:pPr>
        <w:numPr>
          <w:ilvl w:val="0"/>
          <w:numId w:val="1"/>
        </w:numPr>
        <w:spacing w:after="200" w:before="200" w:lineRule="auto"/>
        <w:ind w:left="720" w:hanging="360"/>
        <w:jc w:val="both"/>
        <w:rPr>
          <w:u w:val="none"/>
        </w:rPr>
      </w:pPr>
      <w:r w:rsidDel="00000000" w:rsidR="00000000" w:rsidRPr="00000000">
        <w:rPr>
          <w:rtl w:val="0"/>
        </w:rPr>
        <w:t xml:space="preserve">Pro-government media frequently employ the tactic of targeting human rights defenders and civil society organisations through disinformation and smear campaigns, particularly in repressive regimes. The previous Rapporteur noted that such actions have increasingly led to negative discourse against civil society and rights movements, undermining the essence of freedom of peaceful assembly and association as well as the very existence of civil society, discrediting the work of activists and organizations, and creating a chilling effect.</w:t>
      </w:r>
      <w:r w:rsidDel="00000000" w:rsidR="00000000" w:rsidRPr="00000000">
        <w:rPr>
          <w:vertAlign w:val="superscript"/>
        </w:rPr>
        <w:footnoteReference w:customMarkFollows="0" w:id="19"/>
      </w:r>
      <w:r w:rsidDel="00000000" w:rsidR="00000000" w:rsidRPr="00000000">
        <w:rPr>
          <w:rtl w:val="0"/>
        </w:rPr>
        <w:t xml:space="preserve"> The responsibility of States to protect individuals, human rights defenders, and civil society organizations within their jurisdiction</w:t>
      </w:r>
      <w:r w:rsidDel="00000000" w:rsidR="00000000" w:rsidRPr="00000000">
        <w:rPr>
          <w:vertAlign w:val="superscript"/>
        </w:rPr>
        <w:footnoteReference w:customMarkFollows="0" w:id="20"/>
      </w:r>
      <w:r w:rsidDel="00000000" w:rsidR="00000000" w:rsidRPr="00000000">
        <w:rPr>
          <w:rtl w:val="0"/>
        </w:rPr>
        <w:t xml:space="preserve"> also extends to violations committed by non-State actors. In this context, the Committee should state in the General Comment that States must develop policies and legal measures to combat negative discourse, stigmatisation, defamation, and disinformation targeting civil society in both online and offline spaces.</w:t>
      </w:r>
    </w:p>
    <w:p w:rsidR="00000000" w:rsidDel="00000000" w:rsidP="00000000" w:rsidRDefault="00000000" w:rsidRPr="00000000" w14:paraId="0000004B">
      <w:pPr>
        <w:spacing w:after="200" w:before="200" w:line="276" w:lineRule="auto"/>
        <w:jc w:val="both"/>
        <w:rPr/>
      </w:pPr>
      <w:r w:rsidDel="00000000" w:rsidR="00000000" w:rsidRPr="00000000">
        <w:rPr>
          <w:rtl w:val="0"/>
        </w:rPr>
      </w:r>
    </w:p>
    <w:p w:rsidR="00000000" w:rsidDel="00000000" w:rsidP="00000000" w:rsidRDefault="00000000" w:rsidRPr="00000000" w14:paraId="0000004C">
      <w:pPr>
        <w:spacing w:after="200" w:before="200" w:line="276" w:lineRule="auto"/>
        <w:jc w:val="both"/>
        <w:rPr/>
      </w:pPr>
      <w:r w:rsidDel="00000000" w:rsidR="00000000" w:rsidRPr="00000000">
        <w:rPr>
          <w:rtl w:val="0"/>
        </w:rPr>
      </w:r>
    </w:p>
    <w:p w:rsidR="00000000" w:rsidDel="00000000" w:rsidP="00000000" w:rsidRDefault="00000000" w:rsidRPr="00000000" w14:paraId="0000004D">
      <w:pPr>
        <w:spacing w:after="200" w:before="200" w:line="276" w:lineRule="auto"/>
        <w:jc w:val="both"/>
        <w:rPr>
          <w:b w:val="1"/>
          <w:bCs w:val="1"/>
        </w:rPr>
      </w:pPr>
      <w:r w:rsidDel="00000000" w:rsidR="00000000" w:rsidRPr="00000000">
        <w:rPr>
          <w:b w:val="1"/>
          <w:bCs w:val="1"/>
          <w:rtl w:val="0"/>
        </w:rPr>
        <w:t xml:space="preserve">ANNEX - Information about submitting CSOs</w:t>
      </w:r>
    </w:p>
    <w:p w:rsidR="00000000" w:rsidDel="00000000" w:rsidP="00000000" w:rsidRDefault="00000000" w:rsidRPr="00000000" w14:paraId="0000004E">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4F">
      <w:pPr>
        <w:spacing w:after="200" w:before="200" w:line="240" w:lineRule="auto"/>
        <w:jc w:val="both"/>
        <w:rPr/>
      </w:pPr>
      <w:r w:rsidDel="00000000" w:rsidR="00000000" w:rsidRPr="00000000">
        <w:rPr>
          <w:b w:val="1"/>
          <w:bCs w:val="1"/>
          <w:rtl w:val="0"/>
        </w:rPr>
        <w:t xml:space="preserve">Association for Monitoring Equal Rights (AMER)</w:t>
      </w:r>
      <w:r w:rsidDel="00000000" w:rsidR="00000000" w:rsidRPr="00000000">
        <w:rPr>
          <w:rtl w:val="0"/>
        </w:rPr>
      </w:r>
    </w:p>
    <w:p w:rsidR="00000000" w:rsidDel="00000000" w:rsidP="00000000" w:rsidRDefault="00000000" w:rsidRPr="00000000" w14:paraId="00000050">
      <w:pPr>
        <w:spacing w:after="200" w:before="200" w:line="240" w:lineRule="auto"/>
        <w:jc w:val="both"/>
        <w:rPr/>
      </w:pPr>
      <w:r w:rsidDel="00000000" w:rsidR="00000000" w:rsidRPr="00000000">
        <w:rPr>
          <w:rtl w:val="0"/>
        </w:rPr>
        <w:t xml:space="preserve">The Association for Monitoring Equal Rights (AMER) began its monitoring, advocacy, and support-oriented activities in 2010 with the aim of promoting and safeguarding human rights and freedoms for all, grounded in the principle of equal opportunity. Its work focuses on areas including election monitoring, access to justice, the right to peaceful assembly and demonstration, combating discrimination based on race, ethnicity, belief, or religion, and the empowerment of human rights defenders.</w:t>
      </w:r>
    </w:p>
    <w:p w:rsidR="00000000" w:rsidDel="00000000" w:rsidP="00000000" w:rsidRDefault="00000000" w:rsidRPr="00000000" w14:paraId="00000051">
      <w:pPr>
        <w:spacing w:after="200" w:before="200" w:line="240" w:lineRule="auto"/>
        <w:jc w:val="both"/>
        <w:rPr/>
      </w:pPr>
      <w:r w:rsidDel="00000000" w:rsidR="00000000" w:rsidRPr="00000000">
        <w:rPr>
          <w:rtl w:val="0"/>
        </w:rPr>
        <w:t xml:space="preserve">AMER conducts its human rights-based efforts in solidarity with other civil society organizations and contributes to the strengthening of collaborative networks. For further information, please visit: </w:t>
      </w:r>
      <w:hyperlink r:id="rId8">
        <w:r w:rsidDel="00000000" w:rsidR="00000000" w:rsidRPr="00000000">
          <w:rPr>
            <w:color w:val="1155cc"/>
            <w:u w:val="single"/>
            <w:rtl w:val="0"/>
          </w:rPr>
          <w:t xml:space="preserve">https://www.esithaklar.org/</w:t>
        </w:r>
      </w:hyperlink>
      <w:r w:rsidDel="00000000" w:rsidR="00000000" w:rsidRPr="00000000">
        <w:rPr>
          <w:rtl w:val="0"/>
        </w:rPr>
        <w:t xml:space="preserve">. </w:t>
      </w:r>
    </w:p>
    <w:p w:rsidR="00000000" w:rsidDel="00000000" w:rsidP="00000000" w:rsidRDefault="00000000" w:rsidRPr="00000000" w14:paraId="00000052">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53">
      <w:pPr>
        <w:spacing w:after="200" w:before="200" w:line="276" w:lineRule="auto"/>
        <w:jc w:val="both"/>
        <w:rPr>
          <w:b w:val="1"/>
          <w:bCs w:val="1"/>
        </w:rPr>
      </w:pPr>
      <w:r w:rsidDel="00000000" w:rsidR="00000000" w:rsidRPr="00000000">
        <w:rPr>
          <w:b w:val="1"/>
          <w:bCs w:val="1"/>
          <w:rtl w:val="0"/>
        </w:rPr>
        <w:t xml:space="preserve">Capacity Development Association (KAGED/IHOP)</w:t>
      </w:r>
    </w:p>
    <w:p w:rsidR="00000000" w:rsidDel="00000000" w:rsidP="00000000" w:rsidRDefault="00000000" w:rsidRPr="00000000" w14:paraId="00000054">
      <w:pPr>
        <w:spacing w:after="200" w:before="200" w:line="240" w:lineRule="auto"/>
        <w:jc w:val="both"/>
        <w:rPr/>
      </w:pPr>
      <w:r w:rsidDel="00000000" w:rsidR="00000000" w:rsidRPr="00000000">
        <w:rPr>
          <w:rtl w:val="0"/>
        </w:rPr>
        <w:t xml:space="preserve">Founded in 2005 as the registered association of the Human Rights Joint Platform (IHOP), KAGED's main focus is on promoting the rule of law and human rights principles and values, as well as developing a rights-based approach within civil society organisations and the public administration.</w:t>
      </w:r>
    </w:p>
    <w:p w:rsidR="00000000" w:rsidDel="00000000" w:rsidP="00000000" w:rsidRDefault="00000000" w:rsidRPr="00000000" w14:paraId="00000055">
      <w:pPr>
        <w:spacing w:after="200" w:before="200" w:line="240" w:lineRule="auto"/>
        <w:jc w:val="both"/>
        <w:rPr/>
      </w:pPr>
      <w:r w:rsidDel="00000000" w:rsidR="00000000" w:rsidRPr="00000000">
        <w:rPr>
          <w:rtl w:val="0"/>
        </w:rPr>
        <w:t xml:space="preserve">The Human Rights Joint Platform (IHOP), consisting of five human rights organisations, aims to strengthen the influence of the human rights movement on national decision-making and policy-making processes. Its primary role is to function as a resource center that facilitates interaction, knowledge and experience sharing, and joint action among human rights organizations.</w:t>
      </w:r>
    </w:p>
    <w:p w:rsidR="00000000" w:rsidDel="00000000" w:rsidP="00000000" w:rsidRDefault="00000000" w:rsidRPr="00000000" w14:paraId="00000056">
      <w:pPr>
        <w:spacing w:after="200" w:before="200" w:line="240" w:lineRule="auto"/>
        <w:jc w:val="both"/>
        <w:rPr/>
      </w:pPr>
      <w:r w:rsidDel="00000000" w:rsidR="00000000" w:rsidRPr="00000000">
        <w:rPr>
          <w:rtl w:val="0"/>
        </w:rPr>
        <w:t xml:space="preserve">IHOP also works to ensure that the human rights movement becomes a key interlocutor for legislative and executive bodies in the development and implementation of human rights–related laws and policies. It supports joint advocacy efforts, strengthens pressure, dialogue, and consultation channels with opinion leaders and decision-makers, and focuses on priority areas including democratization, combating impunity and discrimination, freedom of expression, refugee rights, access to justice, and the protection and empowerment of human rights defenders. For further information, please visit: </w:t>
      </w:r>
      <w:hyperlink r:id="rId9">
        <w:r w:rsidDel="00000000" w:rsidR="00000000" w:rsidRPr="00000000">
          <w:rPr>
            <w:color w:val="1155cc"/>
            <w:u w:val="single"/>
            <w:rtl w:val="0"/>
          </w:rPr>
          <w:t xml:space="preserve">https://ihop.org.tr/</w:t>
        </w:r>
      </w:hyperlink>
      <w:r w:rsidDel="00000000" w:rsidR="00000000" w:rsidRPr="00000000">
        <w:rPr>
          <w:rtl w:val="0"/>
        </w:rPr>
        <w:t xml:space="preserve"> </w:t>
      </w:r>
    </w:p>
    <w:p w:rsidR="00000000" w:rsidDel="00000000" w:rsidP="00000000" w:rsidRDefault="00000000" w:rsidRPr="00000000" w14:paraId="00000057">
      <w:pPr>
        <w:spacing w:after="200" w:before="200" w:line="240" w:lineRule="auto"/>
        <w:jc w:val="both"/>
        <w:rPr>
          <w:b w:val="1"/>
          <w:bCs w:val="1"/>
        </w:rPr>
      </w:pPr>
      <w:r w:rsidDel="00000000" w:rsidR="00000000" w:rsidRPr="00000000">
        <w:rPr>
          <w:rtl w:val="0"/>
        </w:rPr>
      </w:r>
    </w:p>
    <w:p w:rsidR="00000000" w:rsidDel="00000000" w:rsidP="00000000" w:rsidRDefault="00000000" w:rsidRPr="00000000" w14:paraId="00000058">
      <w:pPr>
        <w:spacing w:after="200" w:before="200" w:line="276" w:lineRule="auto"/>
        <w:jc w:val="both"/>
        <w:rPr/>
      </w:pPr>
      <w:r w:rsidDel="00000000" w:rsidR="00000000" w:rsidRPr="00000000">
        <w:rPr>
          <w:b w:val="1"/>
          <w:bCs w:val="1"/>
          <w:rtl w:val="0"/>
        </w:rPr>
        <w:t xml:space="preserve">Civil Society Development Center (STGM)</w:t>
      </w:r>
      <w:r w:rsidDel="00000000" w:rsidR="00000000" w:rsidRPr="00000000">
        <w:rPr>
          <w:rtl w:val="0"/>
        </w:rPr>
      </w:r>
    </w:p>
    <w:p w:rsidR="00000000" w:rsidDel="00000000" w:rsidP="00000000" w:rsidRDefault="00000000" w:rsidRPr="00000000" w14:paraId="00000059">
      <w:pPr>
        <w:spacing w:after="200" w:before="200" w:line="276" w:lineRule="auto"/>
        <w:jc w:val="both"/>
        <w:rPr/>
      </w:pPr>
      <w:r w:rsidDel="00000000" w:rsidR="00000000" w:rsidRPr="00000000">
        <w:rPr>
          <w:rtl w:val="0"/>
        </w:rPr>
        <w:t xml:space="preserve">The Civil Society Development Center (STGM) was founded in 2004 by opinion leaders and activists who recognized the importance of civil society for the development of participatory democracy in Türkiye. STGM aims to strengthen civil society organizations as key democratic actors, with a particular focus on rights-based organizations working in areas such as gender, children, human rights, youth, environment, disability rights, and culture and the arts.</w:t>
      </w:r>
    </w:p>
    <w:p w:rsidR="00000000" w:rsidDel="00000000" w:rsidP="00000000" w:rsidRDefault="00000000" w:rsidRPr="00000000" w14:paraId="0000005A">
      <w:pPr>
        <w:spacing w:after="200" w:before="200" w:line="276" w:lineRule="auto"/>
        <w:jc w:val="both"/>
        <w:rPr/>
      </w:pPr>
      <w:r w:rsidDel="00000000" w:rsidR="00000000" w:rsidRPr="00000000">
        <w:rPr>
          <w:rtl w:val="0"/>
        </w:rPr>
        <w:t xml:space="preserve">STGM’s main areas of work include capacity building, policy advocacy, and communication, supporting civil society organizations through training, legal assistance, institutional guidance, and the strengthening of networks and cooperation. Since its establishment, STGM has primarily carried out its activities through European Union–supported projects and works in close cooperation with public institutions responsible for civil society–related affairs. For further information, please visit: </w:t>
      </w:r>
      <w:hyperlink r:id="rId10">
        <w:r w:rsidDel="00000000" w:rsidR="00000000" w:rsidRPr="00000000">
          <w:rPr>
            <w:color w:val="1155cc"/>
            <w:u w:val="single"/>
            <w:rtl w:val="0"/>
          </w:rPr>
          <w:t xml:space="preserve">https://www.stgm.org.tr/</w:t>
        </w:r>
      </w:hyperlink>
      <w:r w:rsidDel="00000000" w:rsidR="00000000" w:rsidRPr="00000000">
        <w:rPr>
          <w:rtl w:val="0"/>
        </w:rPr>
        <w:t xml:space="preserve">. </w:t>
      </w:r>
    </w:p>
    <w:p w:rsidR="00000000" w:rsidDel="00000000" w:rsidP="00000000" w:rsidRDefault="00000000" w:rsidRPr="00000000" w14:paraId="0000005B">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5C">
      <w:pPr>
        <w:spacing w:after="200" w:before="200" w:line="276" w:lineRule="auto"/>
        <w:jc w:val="both"/>
        <w:rPr>
          <w:b w:val="1"/>
          <w:bCs w:val="1"/>
        </w:rPr>
      </w:pPr>
      <w:r w:rsidDel="00000000" w:rsidR="00000000" w:rsidRPr="00000000">
        <w:rPr>
          <w:b w:val="1"/>
          <w:bCs w:val="1"/>
          <w:rtl w:val="0"/>
        </w:rPr>
        <w:t xml:space="preserve">Hafıza Merkezi</w:t>
      </w:r>
    </w:p>
    <w:p w:rsidR="00000000" w:rsidDel="00000000" w:rsidP="00000000" w:rsidRDefault="00000000" w:rsidRPr="00000000" w14:paraId="0000005D">
      <w:pPr>
        <w:spacing w:after="200" w:before="200" w:line="276" w:lineRule="auto"/>
        <w:jc w:val="both"/>
        <w:rPr/>
      </w:pPr>
      <w:r w:rsidDel="00000000" w:rsidR="00000000" w:rsidRPr="00000000">
        <w:rPr>
          <w:rtl w:val="0"/>
        </w:rPr>
        <w:t xml:space="preserve">Hafıza Merkezi is a civil society organization founded in 2011 to contribute to confronting past and ongoing gross human rights violations in Türkiye, with a particular focus on enforced disappearances through a transitional justice perspective. The Center conducts monitoring, documentation, and reporting activities, supports victims’ access to justice, follows emblematic court cases, and works to strengthen social memory and public awareness of serious human rights violations.</w:t>
      </w:r>
    </w:p>
    <w:p w:rsidR="00000000" w:rsidDel="00000000" w:rsidP="00000000" w:rsidRDefault="00000000" w:rsidRPr="00000000" w14:paraId="0000005E">
      <w:pPr>
        <w:spacing w:after="200" w:before="200" w:line="276" w:lineRule="auto"/>
        <w:jc w:val="both"/>
        <w:rPr/>
      </w:pPr>
      <w:r w:rsidDel="00000000" w:rsidR="00000000" w:rsidRPr="00000000">
        <w:rPr>
          <w:rtl w:val="0"/>
        </w:rPr>
        <w:t xml:space="preserve">Over time, in response to shrinking civic space, renewed conflict, and authoritarian practices, Hafıza Merkezi has expanded its focus to include recent violations, the right to life, peace processes, and the protection and support of human rights organizations and defenders, providing grants, capacity-building support, and fostering solidarity and collaboration within civil society. For further information, please visit: </w:t>
      </w:r>
      <w:hyperlink r:id="rId11">
        <w:r w:rsidDel="00000000" w:rsidR="00000000" w:rsidRPr="00000000">
          <w:rPr>
            <w:color w:val="1155cc"/>
            <w:u w:val="single"/>
            <w:rtl w:val="0"/>
          </w:rPr>
          <w:t xml:space="preserve">https://hakikatadalethafiza.org/</w:t>
        </w:r>
      </w:hyperlink>
      <w:r w:rsidDel="00000000" w:rsidR="00000000" w:rsidRPr="00000000">
        <w:rPr>
          <w:rtl w:val="0"/>
        </w:rPr>
        <w:t xml:space="preserve"> </w:t>
      </w:r>
    </w:p>
    <w:p w:rsidR="00000000" w:rsidDel="00000000" w:rsidP="00000000" w:rsidRDefault="00000000" w:rsidRPr="00000000" w14:paraId="0000005F">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60">
      <w:pPr>
        <w:spacing w:after="200" w:before="200" w:line="276" w:lineRule="auto"/>
        <w:jc w:val="both"/>
        <w:rPr>
          <w:b w:val="1"/>
          <w:bCs w:val="1"/>
        </w:rPr>
      </w:pPr>
      <w:r w:rsidDel="00000000" w:rsidR="00000000" w:rsidRPr="00000000">
        <w:rPr>
          <w:b w:val="1"/>
          <w:bCs w:val="1"/>
          <w:rtl w:val="0"/>
        </w:rPr>
        <w:t xml:space="preserve">Human Rights Association</w:t>
      </w:r>
    </w:p>
    <w:p w:rsidR="00000000" w:rsidDel="00000000" w:rsidP="00000000" w:rsidRDefault="00000000" w:rsidRPr="00000000" w14:paraId="00000061">
      <w:pPr>
        <w:spacing w:after="200" w:before="200" w:line="276" w:lineRule="auto"/>
        <w:jc w:val="both"/>
        <w:rPr/>
      </w:pPr>
      <w:r w:rsidDel="00000000" w:rsidR="00000000" w:rsidRPr="00000000">
        <w:rPr>
          <w:rtl w:val="0"/>
        </w:rPr>
        <w:t xml:space="preserve">Founded on 17 July 1986 by 98 human rights defenders in the aftermath of the 12 September 1980 military coup, the Human Rights Association (IHD) was established in response to widespread human rights violations in Türkiye. Today, IHD operates with 29 branches, 3 representative offices, and over 10,000 members and activists, conducting monitoring, reporting, advocacy, and awareness-raising activities across the country.</w:t>
      </w:r>
    </w:p>
    <w:p w:rsidR="00000000" w:rsidDel="00000000" w:rsidP="00000000" w:rsidRDefault="00000000" w:rsidRPr="00000000" w14:paraId="00000062">
      <w:pPr>
        <w:spacing w:after="200" w:before="200" w:line="276" w:lineRule="auto"/>
        <w:jc w:val="both"/>
        <w:rPr/>
      </w:pPr>
      <w:r w:rsidDel="00000000" w:rsidR="00000000" w:rsidRPr="00000000">
        <w:rPr>
          <w:rtl w:val="0"/>
        </w:rPr>
        <w:t xml:space="preserve">IHD works to protect the right to life, prevent torture, abolish the death penalty, address enforced disappearances, and promote peace through democratic and non-violent means. It monitors human rights violations, publishes reports, engages with national and international mechanisms, and advocates for legislative change, while consistently opposing discrimination, violence, and inhumane prison conditions. For further information, please visit: </w:t>
      </w:r>
      <w:hyperlink r:id="rId12">
        <w:r w:rsidDel="00000000" w:rsidR="00000000" w:rsidRPr="00000000">
          <w:rPr>
            <w:color w:val="1155cc"/>
            <w:u w:val="single"/>
            <w:rtl w:val="0"/>
          </w:rPr>
          <w:t xml:space="preserve">https://www.ihd.org.tr/</w:t>
        </w:r>
      </w:hyperlink>
      <w:r w:rsidDel="00000000" w:rsidR="00000000" w:rsidRPr="00000000">
        <w:rPr>
          <w:rtl w:val="0"/>
        </w:rPr>
        <w:t xml:space="preserve"> </w:t>
      </w:r>
    </w:p>
    <w:p w:rsidR="00000000" w:rsidDel="00000000" w:rsidP="00000000" w:rsidRDefault="00000000" w:rsidRPr="00000000" w14:paraId="00000063">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64">
      <w:pPr>
        <w:spacing w:after="200" w:before="200" w:line="276" w:lineRule="auto"/>
        <w:jc w:val="both"/>
        <w:rPr>
          <w:b w:val="1"/>
          <w:bCs w:val="1"/>
        </w:rPr>
      </w:pPr>
      <w:r w:rsidDel="00000000" w:rsidR="00000000" w:rsidRPr="00000000">
        <w:rPr>
          <w:b w:val="1"/>
          <w:bCs w:val="1"/>
          <w:rtl w:val="0"/>
        </w:rPr>
        <w:t xml:space="preserve">Human Rights Foundation of Turkey</w:t>
      </w:r>
    </w:p>
    <w:p w:rsidR="00000000" w:rsidDel="00000000" w:rsidP="00000000" w:rsidRDefault="00000000" w:rsidRPr="00000000" w14:paraId="00000065">
      <w:pPr>
        <w:spacing w:after="200" w:before="200" w:line="276" w:lineRule="auto"/>
        <w:jc w:val="both"/>
        <w:rPr/>
      </w:pPr>
      <w:r w:rsidDel="00000000" w:rsidR="00000000" w:rsidRPr="00000000">
        <w:rPr>
          <w:rtl w:val="0"/>
        </w:rPr>
        <w:t xml:space="preserve">Human Rights Foundation of Turkey (HRFT) was established in 1990 by the Human Rights Association (İHD), the Turkish Medical Association (TTB), and 32 human rights defenders, as a result of efforts following the 12 September 1980 military coup to prevent torture and to provide treatment and rehabilitation for survivors. Over the years, HRFT has become an internationally recognized civil society organization, widely regarded as a leading institution in documenting the traces of torture and providing treatment and rehabilitation to those subjected to torture and other ill-treatment.</w:t>
      </w:r>
    </w:p>
    <w:p w:rsidR="00000000" w:rsidDel="00000000" w:rsidP="00000000" w:rsidRDefault="00000000" w:rsidRPr="00000000" w14:paraId="00000066">
      <w:pPr>
        <w:spacing w:after="200" w:before="200" w:line="276" w:lineRule="auto"/>
        <w:jc w:val="both"/>
        <w:rPr/>
      </w:pPr>
      <w:r w:rsidDel="00000000" w:rsidR="00000000" w:rsidRPr="00000000">
        <w:rPr>
          <w:rtl w:val="0"/>
        </w:rPr>
        <w:t xml:space="preserve">HRFT’s core mission is to protect human dignity and contribute to democracy and social peace by working towards a world free from torture and other forms of ill-treatment. Its main activities focus on supporting torture survivors and their relatives in achieving physical, psychological, and social well-being. In addition to its treatment and rehabilitation efforts, HRFT also operates effective documentation, investigation and prevention of torture. HRFT played a pioneering role in the preparation of the “UN Manual on the Effective Investigation and Documentation of Torture and Other Cruel, Inhuman or Degrading Treatment or Punishment”, commonly known as “the Istanbul Protocol”. HRFT regularly organizes the Istanbul Protocol training for health and medical professionals within Turkey and abroad. For further information, please visit: </w:t>
      </w:r>
      <w:hyperlink r:id="rId13">
        <w:r w:rsidDel="00000000" w:rsidR="00000000" w:rsidRPr="00000000">
          <w:rPr>
            <w:color w:val="1155cc"/>
            <w:u w:val="single"/>
            <w:rtl w:val="0"/>
          </w:rPr>
          <w:t xml:space="preserve">https://tihv.org.tr/</w:t>
        </w:r>
      </w:hyperlink>
      <w:r w:rsidDel="00000000" w:rsidR="00000000" w:rsidRPr="00000000">
        <w:rPr>
          <w:rtl w:val="0"/>
        </w:rPr>
        <w:t xml:space="preserve">. </w:t>
      </w:r>
    </w:p>
    <w:p w:rsidR="00000000" w:rsidDel="00000000" w:rsidP="00000000" w:rsidRDefault="00000000" w:rsidRPr="00000000" w14:paraId="00000067">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68">
      <w:pPr>
        <w:spacing w:after="200" w:before="200" w:line="276" w:lineRule="auto"/>
        <w:jc w:val="both"/>
        <w:rPr/>
      </w:pPr>
      <w:r w:rsidDel="00000000" w:rsidR="00000000" w:rsidRPr="00000000">
        <w:rPr>
          <w:b w:val="1"/>
          <w:bCs w:val="1"/>
          <w:rtl w:val="0"/>
        </w:rPr>
        <w:t xml:space="preserve">Human Rights School (İnsan Hakları Okulu)</w:t>
      </w:r>
      <w:r w:rsidDel="00000000" w:rsidR="00000000" w:rsidRPr="00000000">
        <w:rPr>
          <w:rtl w:val="0"/>
        </w:rPr>
      </w:r>
    </w:p>
    <w:p w:rsidR="00000000" w:rsidDel="00000000" w:rsidP="00000000" w:rsidRDefault="00000000" w:rsidRPr="00000000" w14:paraId="00000069">
      <w:pPr>
        <w:spacing w:after="200" w:before="200" w:line="276" w:lineRule="auto"/>
        <w:jc w:val="both"/>
        <w:rPr/>
      </w:pPr>
      <w:r w:rsidDel="00000000" w:rsidR="00000000" w:rsidRPr="00000000">
        <w:rPr>
          <w:rtl w:val="0"/>
        </w:rPr>
        <w:t xml:space="preserve">The Human Rights School emerged to provide an alternative and critical academic space following the de facto closure of the Faculty of Political Science Human Rights Center at Ankara University and the dismissal of many academics from the Human Rights Master’s Program through decree laws in 2016 and 2017. Since February 2019, it has developed an alternative distance education model through online human rights workshops, alongside summer and winter schools, thematic workshops, seminars, conferences, and written materials.</w:t>
      </w:r>
    </w:p>
    <w:p w:rsidR="00000000" w:rsidDel="00000000" w:rsidP="00000000" w:rsidRDefault="00000000" w:rsidRPr="00000000" w14:paraId="0000006A">
      <w:pPr>
        <w:spacing w:after="200" w:before="200" w:line="276" w:lineRule="auto"/>
        <w:jc w:val="both"/>
        <w:rPr/>
      </w:pPr>
      <w:r w:rsidDel="00000000" w:rsidR="00000000" w:rsidRPr="00000000">
        <w:rPr>
          <w:rtl w:val="0"/>
        </w:rPr>
        <w:t xml:space="preserve">Gaining legal status on 26 May 2021 as the Human Rights School Association, the School aims to promote, protect, and develop universal human rights and fundamental freedoms in Türkiye and globally, support critical and scientific research in the field, monitor rights violations, and contribute to the creation of a non-hierarchical, critical, and public academic space centered on human rights for all. For further information, please visit: </w:t>
      </w:r>
      <w:hyperlink r:id="rId14">
        <w:r w:rsidDel="00000000" w:rsidR="00000000" w:rsidRPr="00000000">
          <w:rPr>
            <w:color w:val="1155cc"/>
            <w:u w:val="single"/>
            <w:rtl w:val="0"/>
          </w:rPr>
          <w:t xml:space="preserve">https://www.insanhaklariokulu.org/</w:t>
        </w:r>
      </w:hyperlink>
      <w:r w:rsidDel="00000000" w:rsidR="00000000" w:rsidRPr="00000000">
        <w:rPr>
          <w:rtl w:val="0"/>
        </w:rPr>
        <w:t xml:space="preserve"> </w:t>
      </w:r>
    </w:p>
    <w:p w:rsidR="00000000" w:rsidDel="00000000" w:rsidP="00000000" w:rsidRDefault="00000000" w:rsidRPr="00000000" w14:paraId="0000006B">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6C">
      <w:pPr>
        <w:spacing w:after="200" w:before="200" w:line="276" w:lineRule="auto"/>
        <w:jc w:val="both"/>
        <w:rPr>
          <w:b w:val="1"/>
          <w:bCs w:val="1"/>
        </w:rPr>
      </w:pPr>
      <w:r w:rsidDel="00000000" w:rsidR="00000000" w:rsidRPr="00000000">
        <w:rPr>
          <w:b w:val="1"/>
          <w:bCs w:val="1"/>
          <w:rtl w:val="0"/>
        </w:rPr>
        <w:t xml:space="preserve">Kaos GL Association</w:t>
      </w:r>
    </w:p>
    <w:p w:rsidR="00000000" w:rsidDel="00000000" w:rsidP="00000000" w:rsidRDefault="00000000" w:rsidRPr="00000000" w14:paraId="0000006D">
      <w:pPr>
        <w:spacing w:after="200" w:before="200" w:line="276" w:lineRule="auto"/>
        <w:jc w:val="both"/>
        <w:rPr/>
      </w:pPr>
      <w:r w:rsidDel="00000000" w:rsidR="00000000" w:rsidRPr="00000000">
        <w:rPr>
          <w:rtl w:val="0"/>
        </w:rPr>
        <w:t xml:space="preserve">Kaos GL is an LGBTI+ organization that emerged in the early 1990s through informal gatherings and began publicly telling its own story with the publication of Kaos GL Magazine on 20 September 1994. Over time, it developed into a structured movement addressing issues such as discrimination, violence, media representation, academia, human rights, HIV, hate crimes, labor rights, feminism, and refugee rights, while fostering collective organizing and visibility.</w:t>
      </w:r>
    </w:p>
    <w:p w:rsidR="00000000" w:rsidDel="00000000" w:rsidP="00000000" w:rsidRDefault="00000000" w:rsidRPr="00000000" w14:paraId="0000006E">
      <w:pPr>
        <w:spacing w:after="200" w:before="200" w:line="276" w:lineRule="auto"/>
        <w:jc w:val="both"/>
        <w:rPr>
          <w:b w:val="1"/>
          <w:bCs w:val="1"/>
        </w:rPr>
      </w:pPr>
      <w:r w:rsidDel="00000000" w:rsidR="00000000" w:rsidRPr="00000000">
        <w:rPr>
          <w:rtl w:val="0"/>
        </w:rPr>
        <w:t xml:space="preserve">Becoming the first officially registered LGBTI+ association in Türkiye in 2005, Kaos GL has since carried out extensive activities in cultural, social, academic, and advocacy fields, including publications, monitoring human rights violations, organizing the International Anti-Homophobia Meetings across the country, supporting LGBTI+ refugees, and strengthening solidarity against heterosexism and patriarchy at local, national, and international levels. For further information, please visit: </w:t>
      </w:r>
      <w:hyperlink r:id="rId15">
        <w:r w:rsidDel="00000000" w:rsidR="00000000" w:rsidRPr="00000000">
          <w:rPr>
            <w:color w:val="1155cc"/>
            <w:u w:val="single"/>
            <w:rtl w:val="0"/>
          </w:rPr>
          <w:t xml:space="preserve">https://kaosgldernegi.org/en/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F">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70">
      <w:pPr>
        <w:spacing w:after="200" w:before="200" w:line="276" w:lineRule="auto"/>
        <w:jc w:val="both"/>
        <w:rPr/>
      </w:pPr>
      <w:r w:rsidDel="00000000" w:rsidR="00000000" w:rsidRPr="00000000">
        <w:rPr>
          <w:b w:val="1"/>
          <w:bCs w:val="1"/>
          <w:rtl w:val="0"/>
        </w:rPr>
        <w:t xml:space="preserve">Mor Çatı Women’s Shelter Foundation</w:t>
      </w:r>
      <w:r w:rsidDel="00000000" w:rsidR="00000000" w:rsidRPr="00000000">
        <w:rPr>
          <w:rtl w:val="0"/>
        </w:rPr>
      </w:r>
    </w:p>
    <w:p w:rsidR="00000000" w:rsidDel="00000000" w:rsidP="00000000" w:rsidRDefault="00000000" w:rsidRPr="00000000" w14:paraId="00000071">
      <w:pPr>
        <w:spacing w:after="200" w:before="200" w:line="276" w:lineRule="auto"/>
        <w:jc w:val="both"/>
        <w:rPr/>
      </w:pPr>
      <w:r w:rsidDel="00000000" w:rsidR="00000000" w:rsidRPr="00000000">
        <w:rPr>
          <w:rtl w:val="0"/>
        </w:rPr>
        <w:t xml:space="preserve">The Mor Çatı Women’s Shelter Foundation was established in 1990 by feminists to combat violence against women through a feminist approach that understands male violence as rooted in structural gender inequality. Its work focuses on empowering women through solidarity-based social support in its shelter and solidarity center, while also monitoring and reporting on the implementation of national and international legal frameworks related to violence against women.</w:t>
      </w:r>
    </w:p>
    <w:p w:rsidR="00000000" w:rsidDel="00000000" w:rsidP="00000000" w:rsidRDefault="00000000" w:rsidRPr="00000000" w14:paraId="00000072">
      <w:pPr>
        <w:spacing w:after="200" w:before="200" w:line="276" w:lineRule="auto"/>
        <w:jc w:val="both"/>
        <w:rPr>
          <w:b w:val="1"/>
          <w:bCs w:val="1"/>
        </w:rPr>
      </w:pPr>
      <w:r w:rsidDel="00000000" w:rsidR="00000000" w:rsidRPr="00000000">
        <w:rPr>
          <w:rtl w:val="0"/>
        </w:rPr>
        <w:t xml:space="preserve">In addition to one-to-one support, Mor Çatı conducts advocacy, develops policy recommendations, and shares its knowledge and experience through workshops with women’s organizations, civil society organizations, bar associations, and municipalities. Through campaigns and collective action with national and international women’s movements, the Foundation works to enable women to live free and independent lives and to challenge patriarchal structures. For further information, please visit: </w:t>
      </w:r>
      <w:hyperlink r:id="rId16">
        <w:r w:rsidDel="00000000" w:rsidR="00000000" w:rsidRPr="00000000">
          <w:rPr>
            <w:color w:val="1155cc"/>
            <w:u w:val="single"/>
            <w:rtl w:val="0"/>
          </w:rPr>
          <w:t xml:space="preserve">https://morcati.org.tr/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spacing w:after="200" w:before="200" w:line="276" w:lineRule="auto"/>
        <w:jc w:val="both"/>
        <w:rPr/>
      </w:pPr>
      <w:r w:rsidDel="00000000" w:rsidR="00000000" w:rsidRPr="00000000">
        <w:rPr>
          <w:rtl w:val="0"/>
        </w:rPr>
      </w:r>
    </w:p>
    <w:p w:rsidR="00000000" w:rsidDel="00000000" w:rsidP="00000000" w:rsidRDefault="00000000" w:rsidRPr="00000000" w14:paraId="00000074">
      <w:pPr>
        <w:spacing w:after="200" w:before="200" w:line="276" w:lineRule="auto"/>
        <w:jc w:val="both"/>
        <w:rPr/>
      </w:pPr>
      <w:r w:rsidDel="00000000" w:rsidR="00000000" w:rsidRPr="00000000">
        <w:rPr>
          <w:b w:val="1"/>
          <w:bCs w:val="1"/>
          <w:rtl w:val="0"/>
        </w:rPr>
        <w:t xml:space="preserve">Third Sector Foundation of Türkiye (TÜSEV)</w:t>
      </w:r>
      <w:r w:rsidDel="00000000" w:rsidR="00000000" w:rsidRPr="00000000">
        <w:rPr>
          <w:rtl w:val="0"/>
        </w:rPr>
      </w:r>
    </w:p>
    <w:p w:rsidR="00000000" w:rsidDel="00000000" w:rsidP="00000000" w:rsidRDefault="00000000" w:rsidRPr="00000000" w14:paraId="00000075">
      <w:pPr>
        <w:spacing w:after="200" w:before="200" w:line="276" w:lineRule="auto"/>
        <w:jc w:val="both"/>
        <w:rPr/>
      </w:pPr>
      <w:r w:rsidDel="00000000" w:rsidR="00000000" w:rsidRPr="00000000">
        <w:rPr>
          <w:rtl w:val="0"/>
        </w:rPr>
        <w:t xml:space="preserve">Founded in 1993, the Third Sector Foundation of Türkiye (TÜSEV) works to develop solutions to the shared and current challenges faced by civil society organizations in Türkiye. With over 30 years of experience, TÜSEV focuses on creating an enabling legal and fiscal environment for CSOs, promoting strategic and effective giving, strengthening dialogue and cooperation among the public, private, and civil society sectors, and enhancing the visibility and reputation of Turkish civil society at national and international levels.</w:t>
      </w:r>
    </w:p>
    <w:p w:rsidR="00000000" w:rsidDel="00000000" w:rsidP="00000000" w:rsidRDefault="00000000" w:rsidRPr="00000000" w14:paraId="00000076">
      <w:pPr>
        <w:spacing w:after="200" w:before="200" w:line="276" w:lineRule="auto"/>
        <w:jc w:val="both"/>
        <w:rPr/>
      </w:pPr>
      <w:r w:rsidDel="00000000" w:rsidR="00000000" w:rsidRPr="00000000">
        <w:rPr>
          <w:rtl w:val="0"/>
        </w:rPr>
        <w:t xml:space="preserve">Through research, knowledge production, and partnership-building, TÜSEV aims to contribute to a stronger, more participatory, and more reputable civil society in Türkiye. For further information, please visit: </w:t>
      </w:r>
      <w:hyperlink r:id="rId17">
        <w:r w:rsidDel="00000000" w:rsidR="00000000" w:rsidRPr="00000000">
          <w:rPr>
            <w:color w:val="1155cc"/>
            <w:u w:val="single"/>
            <w:rtl w:val="0"/>
          </w:rPr>
          <w:t xml:space="preserve">https://tusev.org.tr/</w:t>
        </w:r>
      </w:hyperlink>
      <w:r w:rsidDel="00000000" w:rsidR="00000000" w:rsidRPr="00000000">
        <w:rPr>
          <w:rtl w:val="0"/>
        </w:rPr>
        <w:t xml:space="preserve">. </w:t>
      </w:r>
    </w:p>
    <w:p w:rsidR="00000000" w:rsidDel="00000000" w:rsidP="00000000" w:rsidRDefault="00000000" w:rsidRPr="00000000" w14:paraId="00000077">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78">
      <w:pPr>
        <w:spacing w:after="200" w:before="200" w:line="276" w:lineRule="auto"/>
        <w:jc w:val="both"/>
        <w:rPr>
          <w:b w:val="1"/>
          <w:bCs w:val="1"/>
        </w:rPr>
      </w:pPr>
      <w:r w:rsidDel="00000000" w:rsidR="00000000" w:rsidRPr="00000000">
        <w:rPr>
          <w:b w:val="1"/>
          <w:bCs w:val="1"/>
          <w:rtl w:val="0"/>
        </w:rPr>
        <w:t xml:space="preserve">Women for Women’s Human Rights</w:t>
      </w:r>
    </w:p>
    <w:p w:rsidR="00000000" w:rsidDel="00000000" w:rsidP="00000000" w:rsidRDefault="00000000" w:rsidRPr="00000000" w14:paraId="00000079">
      <w:pPr>
        <w:spacing w:after="200" w:before="200" w:line="276" w:lineRule="auto"/>
        <w:jc w:val="both"/>
        <w:rPr/>
      </w:pPr>
      <w:r w:rsidDel="00000000" w:rsidR="00000000" w:rsidRPr="00000000">
        <w:rPr>
          <w:rtl w:val="0"/>
        </w:rPr>
        <w:t xml:space="preserve">Women for Women’s Human Rights (WWHR) is an independent women’s civil society organization founded in 1993 to advocate for women’s human rights, equality, and the elimination of discrimination in Türkiye and internationally. Inspired by the recognition of women’s rights as human rights at the 1993 World Conference on Human Rights in Vienna, WWHR supports women’s active participation as free individuals and equal citizens in building democratic, egalitarian, and peaceful societies.</w:t>
      </w:r>
    </w:p>
    <w:p w:rsidR="00000000" w:rsidDel="00000000" w:rsidP="00000000" w:rsidRDefault="00000000" w:rsidRPr="00000000" w14:paraId="0000007A">
      <w:pPr>
        <w:spacing w:after="200" w:before="200" w:line="276" w:lineRule="auto"/>
        <w:jc w:val="both"/>
        <w:rPr>
          <w:rFonts w:ascii="Times New Roman" w:cs="Times New Roman" w:eastAsia="Times New Roman" w:hAnsi="Times New Roman"/>
          <w:sz w:val="24"/>
          <w:szCs w:val="24"/>
        </w:rPr>
      </w:pPr>
      <w:r w:rsidDel="00000000" w:rsidR="00000000" w:rsidRPr="00000000">
        <w:rPr>
          <w:rtl w:val="0"/>
        </w:rPr>
        <w:t xml:space="preserve">Through sustained activism, advocacy, research, education, and solidarity-building at local, national, regional, and international levels, WWHR has contributed to legal reforms, the advancement of rights awareness, and the promotion of women’s sexual, bodily, and reproductive rights, including advocacy at the United Nations level. For further information, please visit: </w:t>
      </w:r>
      <w:hyperlink r:id="rId18">
        <w:r w:rsidDel="00000000" w:rsidR="00000000" w:rsidRPr="00000000">
          <w:rPr>
            <w:color w:val="1155cc"/>
            <w:u w:val="single"/>
            <w:rtl w:val="0"/>
          </w:rPr>
          <w:t xml:space="preserve">https://kadinininsanhaklari.org/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B">
      <w:pPr>
        <w:spacing w:after="20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200" w:before="200" w:line="276" w:lineRule="auto"/>
        <w:jc w:val="both"/>
        <w:rPr/>
      </w:pPr>
      <w:r w:rsidDel="00000000" w:rsidR="00000000" w:rsidRPr="00000000">
        <w:rPr>
          <w:b w:val="1"/>
          <w:bCs w:val="1"/>
          <w:rtl w:val="0"/>
        </w:rPr>
        <w:t xml:space="preserve">Young LGBTI+ Association</w:t>
      </w:r>
      <w:r w:rsidDel="00000000" w:rsidR="00000000" w:rsidRPr="00000000">
        <w:rPr>
          <w:rtl w:val="0"/>
        </w:rPr>
      </w:r>
    </w:p>
    <w:p w:rsidR="00000000" w:rsidDel="00000000" w:rsidP="00000000" w:rsidRDefault="00000000" w:rsidRPr="00000000" w14:paraId="0000007D">
      <w:pPr>
        <w:spacing w:after="200" w:before="200" w:line="276" w:lineRule="auto"/>
        <w:jc w:val="both"/>
        <w:rPr/>
      </w:pPr>
      <w:r w:rsidDel="00000000" w:rsidR="00000000" w:rsidRPr="00000000">
        <w:rPr>
          <w:rtl w:val="0"/>
        </w:rPr>
        <w:t xml:space="preserve">The Young Lesbian, Gay, Bisexual, Trans, Intersex Youth Studies and Solidarity Association (Young LGBTI+ Association) was established in İzmir in 2016 to research the problems faced by LGBTI+ youth, bring these issues to public attention, develop solutions, and create spaces for LGBTI+ youth to express themselves. Its main areas of work include access to basic needs such as shelter, education, and health, youth and sexual rights, social activities, rights advocacy, combating hate crimes, and peer support.</w:t>
      </w:r>
    </w:p>
    <w:p w:rsidR="00000000" w:rsidDel="00000000" w:rsidP="00000000" w:rsidRDefault="00000000" w:rsidRPr="00000000" w14:paraId="0000007E">
      <w:pPr>
        <w:spacing w:after="200" w:before="200" w:line="276" w:lineRule="auto"/>
        <w:jc w:val="both"/>
        <w:rPr/>
      </w:pPr>
      <w:r w:rsidDel="00000000" w:rsidR="00000000" w:rsidRPr="00000000">
        <w:rPr>
          <w:rtl w:val="0"/>
        </w:rPr>
        <w:t xml:space="preserve">While LGBTI+ youth aged 18–35 constitute its primary focus group, the association also engages with broader LGBTI+ movement–related issues and includes people of all ages in its activities and services. The association adopts a strong anti-discrimination stance against homophobia, biphobia, transphobia, xenophobia, heterosexism, sexism, racism, militarism, patriarchy, and all forms of oppression, and operates on principles of equality, non-discrimination, and independence from political parties. For further information, please visit: </w:t>
      </w:r>
      <w:hyperlink r:id="rId19">
        <w:r w:rsidDel="00000000" w:rsidR="00000000" w:rsidRPr="00000000">
          <w:rPr>
            <w:color w:val="1155cc"/>
            <w:u w:val="single"/>
            <w:rtl w:val="0"/>
          </w:rPr>
          <w:t xml:space="preserve">https://genclgbti.org/</w:t>
        </w:r>
      </w:hyperlink>
      <w:r w:rsidDel="00000000" w:rsidR="00000000" w:rsidRPr="00000000">
        <w:rPr>
          <w:rtl w:val="0"/>
        </w:rPr>
        <w:t xml:space="preserve"> </w:t>
      </w:r>
    </w:p>
    <w:p w:rsidR="00000000" w:rsidDel="00000000" w:rsidP="00000000" w:rsidRDefault="00000000" w:rsidRPr="00000000" w14:paraId="0000007F">
      <w:pPr>
        <w:spacing w:after="200" w:before="200" w:line="276" w:lineRule="auto"/>
        <w:jc w:val="both"/>
        <w:rPr/>
      </w:pPr>
      <w:r w:rsidDel="00000000" w:rsidR="00000000" w:rsidRPr="00000000">
        <w:rPr>
          <w:b w:val="1"/>
          <w:bCs w:val="1"/>
          <w:rtl w:val="0"/>
        </w:rPr>
        <w:t xml:space="preserve">Update:</w:t>
      </w:r>
      <w:r w:rsidDel="00000000" w:rsidR="00000000" w:rsidRPr="00000000">
        <w:rPr>
          <w:rtl w:val="0"/>
        </w:rPr>
        <w:t xml:space="preserve"> On 11 December 2025, İzmir 3rd Civil Court of First Instance ordered the dissolution of the association, a decision not yet finalized and subject to appeal. The case, based on allegations of obscenity related to artistic content shared on social media despite finalized non-prosecution decisions, is widely regarded as a serious setback for freedom of association, freedom of expression, and the space for civil society in Türkiye.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8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framework outlined by the Venice Commission in 2011 regarding the scope of freedom of association as a right will be useful in expressing the importance of this freedom for democratic societies that respect human rights in the General Comment: "Freedom of association is a complex right which encompasses elements of civil, political and economic rights. Its civil right element protects individual against unlawful intervention by the state into the individual wish to associate with others. The political right element helps individuals defend their interests against the state or other individuals in an organised and hence more efficient way. Finally, the economic right element allows individuals to promote their interests in the area of labour market, especially by means of trade unions." See CDL-AD(2011)035, Opinion on the compatibility with human rights standards of the legislation on non-governmental organizations of the Republic of Azerbaijan adopted by the Venice Commission at its 88th Plenary Session (Venice, October 14-15, 2011),</w:t>
      </w:r>
      <w:hyperlink r:id="rId1">
        <w:r w:rsidDel="00000000" w:rsidR="00000000" w:rsidRPr="00000000">
          <w:rPr>
            <w:sz w:val="20"/>
            <w:szCs w:val="20"/>
            <w:u w:val="single"/>
            <w:rtl w:val="0"/>
          </w:rPr>
          <w:t xml:space="preserve"> </w:t>
        </w:r>
      </w:hyperlink>
      <w:hyperlink r:id="rId2">
        <w:r w:rsidDel="00000000" w:rsidR="00000000" w:rsidRPr="00000000">
          <w:rPr>
            <w:color w:val="1155cc"/>
            <w:sz w:val="20"/>
            <w:szCs w:val="20"/>
            <w:u w:val="single"/>
            <w:rtl w:val="0"/>
          </w:rPr>
          <w:t xml:space="preserve">https://www.venice.coe.int/webforms/documents/CDL-AD(2011)035-e.aspx</w:t>
        </w:r>
      </w:hyperlink>
      <w:r w:rsidDel="00000000" w:rsidR="00000000" w:rsidRPr="00000000">
        <w:rPr>
          <w:sz w:val="20"/>
          <w:szCs w:val="20"/>
          <w:rtl w:val="0"/>
        </w:rPr>
        <w:t xml:space="preserve">. </w:t>
      </w:r>
    </w:p>
  </w:footnote>
  <w:footnote w:id="1">
    <w:p w:rsidR="00000000" w:rsidDel="00000000" w:rsidP="00000000" w:rsidRDefault="00000000" w:rsidRPr="00000000" w14:paraId="0000008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see 2025 State of Civil Society Report, CIVICUS, March 2025, </w:t>
      </w:r>
      <w:hyperlink r:id="rId3">
        <w:r w:rsidDel="00000000" w:rsidR="00000000" w:rsidRPr="00000000">
          <w:rPr>
            <w:color w:val="1155cc"/>
            <w:sz w:val="20"/>
            <w:szCs w:val="20"/>
            <w:u w:val="single"/>
            <w:rtl w:val="0"/>
          </w:rPr>
          <w:t xml:space="preserve">https://www.civicus.org/documents/reports-and-publications/SOCS/2025/state-of-civil-society-report-2025_en.pdf</w:t>
        </w:r>
      </w:hyperlink>
      <w:r w:rsidDel="00000000" w:rsidR="00000000" w:rsidRPr="00000000">
        <w:rPr>
          <w:sz w:val="20"/>
          <w:szCs w:val="20"/>
          <w:rtl w:val="0"/>
        </w:rPr>
        <w:t xml:space="preserve">, and People Power Under Attack 2025, CIVICUS Monitor, December 2025,</w:t>
      </w:r>
      <w:hyperlink r:id="rId4">
        <w:r w:rsidDel="00000000" w:rsidR="00000000" w:rsidRPr="00000000">
          <w:rPr>
            <w:color w:val="1155cc"/>
            <w:sz w:val="20"/>
            <w:szCs w:val="20"/>
            <w:u w:val="single"/>
            <w:rtl w:val="0"/>
          </w:rPr>
          <w:t xml:space="preserve"> https://monitor.civicus.org/globalfindings_2025/</w:t>
        </w:r>
      </w:hyperlink>
      <w:r w:rsidDel="00000000" w:rsidR="00000000" w:rsidRPr="00000000">
        <w:rPr>
          <w:sz w:val="20"/>
          <w:szCs w:val="20"/>
          <w:rtl w:val="0"/>
        </w:rPr>
        <w:t xml:space="preserve">.</w:t>
      </w:r>
    </w:p>
  </w:footnote>
  <w:footnote w:id="8">
    <w:p w:rsidR="00000000" w:rsidDel="00000000" w:rsidP="00000000" w:rsidRDefault="00000000" w:rsidRPr="00000000" w14:paraId="000000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comment No. 37 (2020) on the right of peaceful assembly (article 21), par. 3</w:t>
      </w:r>
    </w:p>
  </w:footnote>
  <w:footnote w:id="11">
    <w:p w:rsidR="00000000" w:rsidDel="00000000" w:rsidP="00000000" w:rsidRDefault="00000000" w:rsidRPr="00000000" w14:paraId="0000008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recent years, organizations working in the field of human rights and gender equality in Turkey have increasingly faced closure cases on grounds such as terrorist organization propaganda, financing of terrorism, and immoral activities. For a comprehensive review on this issue, see </w:t>
      </w:r>
      <w:hyperlink r:id="rId5">
        <w:r w:rsidDel="00000000" w:rsidR="00000000" w:rsidRPr="00000000">
          <w:rPr>
            <w:color w:val="1155cc"/>
            <w:sz w:val="20"/>
            <w:szCs w:val="20"/>
            <w:u w:val="single"/>
            <w:rtl w:val="0"/>
          </w:rPr>
          <w:t xml:space="preserve">“Uncertain and Eerie”: Closure Cases Against Associations in Turkey.</w:t>
        </w:r>
      </w:hyperlink>
      <w:r w:rsidDel="00000000" w:rsidR="00000000" w:rsidRPr="00000000">
        <w:rPr>
          <w:sz w:val="20"/>
          <w:szCs w:val="20"/>
          <w:rtl w:val="0"/>
        </w:rPr>
        <w:t xml:space="preserve"> </w:t>
      </w:r>
    </w:p>
    <w:p w:rsidR="00000000" w:rsidDel="00000000" w:rsidP="00000000" w:rsidRDefault="00000000" w:rsidRPr="00000000" w14:paraId="00000084">
      <w:pPr>
        <w:spacing w:line="240" w:lineRule="auto"/>
        <w:rPr>
          <w:sz w:val="20"/>
          <w:szCs w:val="20"/>
        </w:rPr>
      </w:pPr>
      <w:r w:rsidDel="00000000" w:rsidR="00000000" w:rsidRPr="00000000">
        <w:rPr>
          <w:sz w:val="20"/>
          <w:szCs w:val="20"/>
          <w:rtl w:val="0"/>
        </w:rPr>
        <w:t xml:space="preserve">For details on the most recent example in Turkey, the closure decision issued on December 11, 2025, against the Young LGBTİ+ Association on grounds of obscenity, see</w:t>
      </w:r>
      <w:hyperlink r:id="rId6">
        <w:r w:rsidDel="00000000" w:rsidR="00000000" w:rsidRPr="00000000">
          <w:rPr>
            <w:color w:val="1155cc"/>
            <w:sz w:val="20"/>
            <w:szCs w:val="20"/>
            <w:u w:val="single"/>
            <w:rtl w:val="0"/>
          </w:rPr>
          <w:t xml:space="preserve"> https://kaosgl1.org/en/single-news/closure-decision-against-young-lgbti-the-justification-is-obscenity-based-on-social-media-posts</w:t>
        </w:r>
      </w:hyperlink>
      <w:r w:rsidDel="00000000" w:rsidR="00000000" w:rsidRPr="00000000">
        <w:rPr>
          <w:sz w:val="20"/>
          <w:szCs w:val="20"/>
          <w:rtl w:val="0"/>
        </w:rPr>
        <w:t xml:space="preserve">. </w:t>
      </w:r>
    </w:p>
  </w:footnote>
  <w:footnote w:id="3">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Guide on Article 11 of the European Convention on Human Rights: Freedom of assembly and association, European Court of Human Rights, 2025,</w:t>
      </w:r>
      <w:hyperlink r:id="rId7">
        <w:r w:rsidDel="00000000" w:rsidR="00000000" w:rsidRPr="00000000">
          <w:rPr>
            <w:color w:val="1155cc"/>
            <w:sz w:val="20"/>
            <w:szCs w:val="20"/>
            <w:u w:val="single"/>
            <w:rtl w:val="0"/>
          </w:rPr>
          <w:t xml:space="preserve"> https://ks.echr.coe.int/documents/d/echr-ks/guide_art_11_eng</w:t>
        </w:r>
      </w:hyperlink>
      <w:r w:rsidDel="00000000" w:rsidR="00000000" w:rsidRPr="00000000">
        <w:rPr>
          <w:sz w:val="20"/>
          <w:szCs w:val="20"/>
          <w:rtl w:val="0"/>
        </w:rPr>
        <w:t xml:space="preserve">. </w:t>
      </w:r>
    </w:p>
  </w:footnote>
  <w:footnote w:id="10">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A/80/219.</w:t>
      </w:r>
    </w:p>
  </w:footnote>
  <w:footnote w:id="5">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Joint Guidelines on Freedom of Association, OSCE/ODIHR and Venice Commission, 2014, </w:t>
      </w:r>
      <w:hyperlink r:id="rId8">
        <w:r w:rsidDel="00000000" w:rsidR="00000000" w:rsidRPr="00000000">
          <w:rPr>
            <w:color w:val="1155cc"/>
            <w:sz w:val="20"/>
            <w:szCs w:val="20"/>
            <w:u w:val="single"/>
            <w:rtl w:val="0"/>
          </w:rPr>
          <w:t xml:space="preserve">CDL-AD(2014)046.</w:t>
        </w:r>
      </w:hyperlink>
      <w:r w:rsidDel="00000000" w:rsidR="00000000" w:rsidRPr="00000000">
        <w:rPr>
          <w:rtl w:val="0"/>
        </w:rPr>
      </w:r>
    </w:p>
  </w:footnote>
  <w:footnote w:id="7">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a comprehensive review on this topic, see </w:t>
      </w:r>
      <w:hyperlink r:id="rId9">
        <w:r w:rsidDel="00000000" w:rsidR="00000000" w:rsidRPr="00000000">
          <w:rPr>
            <w:color w:val="1155cc"/>
            <w:sz w:val="20"/>
            <w:szCs w:val="20"/>
            <w:u w:val="single"/>
            <w:rtl w:val="0"/>
          </w:rPr>
          <w:t xml:space="preserve">“Uncertain and Eerie”: Closure Cases Against Associations in Turkey.</w:t>
        </w:r>
      </w:hyperlink>
      <w:r w:rsidDel="00000000" w:rsidR="00000000" w:rsidRPr="00000000">
        <w:rPr>
          <w:sz w:val="20"/>
          <w:szCs w:val="20"/>
          <w:rtl w:val="0"/>
        </w:rPr>
        <w:t xml:space="preserve"> </w:t>
      </w:r>
    </w:p>
  </w:footnote>
  <w:footnote w:id="14">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OHCHR’s briefer on </w:t>
      </w:r>
      <w:hyperlink r:id="rId10">
        <w:r w:rsidDel="00000000" w:rsidR="00000000" w:rsidRPr="00000000">
          <w:rPr>
            <w:color w:val="1155cc"/>
            <w:sz w:val="20"/>
            <w:szCs w:val="20"/>
            <w:u w:val="single"/>
            <w:rtl w:val="0"/>
          </w:rPr>
          <w:t xml:space="preserve">The impact of SLAPPs on human rights &amp; how to respond</w:t>
        </w:r>
      </w:hyperlink>
      <w:r w:rsidDel="00000000" w:rsidR="00000000" w:rsidRPr="00000000">
        <w:rPr>
          <w:sz w:val="20"/>
          <w:szCs w:val="20"/>
          <w:rtl w:val="0"/>
        </w:rPr>
        <w:t xml:space="preserve">, 2024. </w:t>
      </w:r>
    </w:p>
  </w:footnote>
  <w:footnote w:id="15">
    <w:p w:rsidR="00000000" w:rsidDel="00000000" w:rsidP="00000000" w:rsidRDefault="00000000" w:rsidRPr="00000000" w14:paraId="0000008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of the Special Rapporteur on the rights to freedom of peaceful assembly and of association (A/HRC/44/50), </w:t>
      </w:r>
      <w:hyperlink r:id="rId11">
        <w:r w:rsidDel="00000000" w:rsidR="00000000" w:rsidRPr="00000000">
          <w:rPr>
            <w:color w:val="1155cc"/>
            <w:sz w:val="20"/>
            <w:szCs w:val="20"/>
            <w:u w:val="single"/>
            <w:rtl w:val="0"/>
          </w:rPr>
          <w:t xml:space="preserve">Ten years protecting civic space worldwide</w:t>
        </w:r>
      </w:hyperlink>
      <w:r w:rsidDel="00000000" w:rsidR="00000000" w:rsidRPr="00000000">
        <w:rPr>
          <w:sz w:val="20"/>
          <w:szCs w:val="20"/>
          <w:rtl w:val="0"/>
        </w:rPr>
        <w:t xml:space="preserve">.</w:t>
      </w:r>
    </w:p>
  </w:footnote>
  <w:footnote w:id="16">
    <w:p w:rsidR="00000000" w:rsidDel="00000000" w:rsidP="00000000" w:rsidRDefault="00000000" w:rsidRPr="00000000" w14:paraId="0000008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of the Special Rapporteur on the rights to freedom of peaceful assembly and of association, Clément Nyaletsossi Voule (A/HRC/41/41), </w:t>
      </w:r>
      <w:hyperlink r:id="rId12">
        <w:r w:rsidDel="00000000" w:rsidR="00000000" w:rsidRPr="00000000">
          <w:rPr>
            <w:color w:val="1155cc"/>
            <w:sz w:val="20"/>
            <w:szCs w:val="20"/>
            <w:u w:val="single"/>
            <w:rtl w:val="0"/>
          </w:rPr>
          <w:t xml:space="preserve">Rights to freedom of peaceful assembly and of association.</w:t>
        </w:r>
      </w:hyperlink>
      <w:r w:rsidDel="00000000" w:rsidR="00000000" w:rsidRPr="00000000">
        <w:rPr>
          <w:sz w:val="20"/>
          <w:szCs w:val="20"/>
          <w:rtl w:val="0"/>
        </w:rPr>
        <w:t xml:space="preserve"> </w:t>
      </w:r>
    </w:p>
  </w:footnote>
  <w:footnote w:id="17">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18">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A/80/219.</w:t>
      </w:r>
    </w:p>
  </w:footnote>
  <w:footnote w:id="4">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Rise and Impact of Government-Organized Non-Governmental Organizations (GoNGOs): another tool of repression of independent civil society Case studies on Algeria, Egypt and Turkey, EuroMed Rights, February 2021,</w:t>
      </w:r>
      <w:hyperlink r:id="rId13">
        <w:r w:rsidDel="00000000" w:rsidR="00000000" w:rsidRPr="00000000">
          <w:rPr>
            <w:color w:val="1155cc"/>
            <w:sz w:val="20"/>
            <w:szCs w:val="20"/>
            <w:u w:val="single"/>
            <w:rtl w:val="0"/>
          </w:rPr>
          <w:t xml:space="preserve"> https://euromedrights.org/wp-content/uploads/2021/02/GoNGOS-Report_Final.pdf</w:t>
        </w:r>
      </w:hyperlink>
      <w:r w:rsidDel="00000000" w:rsidR="00000000" w:rsidRPr="00000000">
        <w:rPr>
          <w:sz w:val="20"/>
          <w:szCs w:val="20"/>
          <w:rtl w:val="0"/>
        </w:rPr>
        <w:t xml:space="preserve">. </w:t>
      </w:r>
    </w:p>
  </w:footnote>
  <w:footnote w:id="13">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on Funding of Associations Adopted by the Venice Commission at its 118th Plenary Session (Venice, 15-16 March 2019),</w:t>
      </w:r>
      <w:hyperlink r:id="rId14">
        <w:r w:rsidDel="00000000" w:rsidR="00000000" w:rsidRPr="00000000">
          <w:rPr>
            <w:color w:val="1155cc"/>
            <w:sz w:val="20"/>
            <w:szCs w:val="20"/>
            <w:u w:val="single"/>
            <w:rtl w:val="0"/>
          </w:rPr>
          <w:t xml:space="preserve"> https://www.venice.coe.int/webforms/documents/default.aspx?pdffile=CDL-AD(2019)002-e</w:t>
        </w:r>
      </w:hyperlink>
      <w:r w:rsidDel="00000000" w:rsidR="00000000" w:rsidRPr="00000000">
        <w:rPr>
          <w:sz w:val="20"/>
          <w:szCs w:val="20"/>
          <w:rtl w:val="0"/>
        </w:rPr>
        <w:t xml:space="preserve">. </w:t>
      </w:r>
    </w:p>
  </w:footnote>
  <w:footnote w:id="12">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Concluding observations on the initial report of Turkey adopted by the Committee at its 106th session, CCPR/C/TUR/CO/1. </w:t>
      </w:r>
    </w:p>
  </w:footnote>
  <w:footnote w:id="0">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A/HRC/20/27, para. 56. </w:t>
      </w:r>
    </w:p>
  </w:footnote>
  <w:footnote w:id="19">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of the Special Rapporteur on the rights to freedom of peaceful assembly and of association, Clément Nyaletsossi Voule (A/HRC/56/50), </w:t>
      </w:r>
      <w:hyperlink r:id="rId15">
        <w:r w:rsidDel="00000000" w:rsidR="00000000" w:rsidRPr="00000000">
          <w:rPr>
            <w:color w:val="1155cc"/>
            <w:sz w:val="20"/>
            <w:szCs w:val="20"/>
            <w:u w:val="single"/>
            <w:rtl w:val="0"/>
          </w:rPr>
          <w:t xml:space="preserve">Preserving the gains and pushing back against the global attack on civic space and growing authoritarianism</w:t>
        </w:r>
      </w:hyperlink>
      <w:r w:rsidDel="00000000" w:rsidR="00000000" w:rsidRPr="00000000">
        <w:rPr>
          <w:sz w:val="20"/>
          <w:szCs w:val="20"/>
          <w:rtl w:val="0"/>
        </w:rPr>
        <w:t xml:space="preserve">. </w:t>
      </w:r>
    </w:p>
  </w:footnote>
  <w:footnote w:id="20">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of the Special Rapporteur on the situation of human rights defenders, Margaret Sekaggya, </w:t>
      </w:r>
      <w:hyperlink r:id="rId16">
        <w:r w:rsidDel="00000000" w:rsidR="00000000" w:rsidRPr="00000000">
          <w:rPr>
            <w:color w:val="1155cc"/>
            <w:sz w:val="20"/>
            <w:szCs w:val="20"/>
            <w:u w:val="single"/>
            <w:rtl w:val="0"/>
          </w:rPr>
          <w:t xml:space="preserve">A/HRC/13/22</w:t>
        </w:r>
      </w:hyperlink>
      <w:r w:rsidDel="00000000" w:rsidR="00000000" w:rsidRPr="00000000">
        <w:rPr>
          <w:sz w:val="20"/>
          <w:szCs w:val="20"/>
          <w:rtl w:val="0"/>
        </w:rPr>
        <w:t xml:space="preserve">, para. 42.</w:t>
      </w:r>
    </w:p>
  </w:footnote>
  <w:footnote w:id="6">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of the Special Rapporteur on the rights to freedom of peaceful assembly and of association, Gina Romero (A/80/219), </w:t>
      </w:r>
      <w:hyperlink r:id="rId17">
        <w:r w:rsidDel="00000000" w:rsidR="00000000" w:rsidRPr="00000000">
          <w:rPr>
            <w:color w:val="1155cc"/>
            <w:sz w:val="20"/>
            <w:szCs w:val="20"/>
            <w:u w:val="single"/>
            <w:rtl w:val="0"/>
          </w:rPr>
          <w:t xml:space="preserve">Freedom of assembly and association rights, collective action and human solidarity facing an existential threat.</w:t>
        </w:r>
      </w:hyperlink>
      <w:r w:rsidDel="00000000" w:rsidR="00000000" w:rsidRPr="00000000">
        <w:rPr>
          <w:rtl w:val="0"/>
        </w:rPr>
      </w:r>
    </w:p>
  </w:footnote>
  <w:footnote w:id="9">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Comment 24, CCPR/C/21/Rev.1/Add.6.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akikatadalethafiza.org/" TargetMode="External"/><Relationship Id="rId10" Type="http://schemas.openxmlformats.org/officeDocument/2006/relationships/hyperlink" Target="https://www.stgm.org.tr/" TargetMode="External"/><Relationship Id="rId13" Type="http://schemas.openxmlformats.org/officeDocument/2006/relationships/hyperlink" Target="https://tihv.org.tr/" TargetMode="External"/><Relationship Id="rId12" Type="http://schemas.openxmlformats.org/officeDocument/2006/relationships/hyperlink" Target="https://www.ihd.org.t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hop.org.tr/" TargetMode="External"/><Relationship Id="rId15" Type="http://schemas.openxmlformats.org/officeDocument/2006/relationships/hyperlink" Target="https://kaosgldernegi.org/en/" TargetMode="External"/><Relationship Id="rId14" Type="http://schemas.openxmlformats.org/officeDocument/2006/relationships/hyperlink" Target="https://www.insanhaklariokulu.org/" TargetMode="External"/><Relationship Id="rId17" Type="http://schemas.openxmlformats.org/officeDocument/2006/relationships/hyperlink" Target="https://tusev.org.tr/" TargetMode="External"/><Relationship Id="rId16" Type="http://schemas.openxmlformats.org/officeDocument/2006/relationships/hyperlink" Target="https://morcati.org.tr/" TargetMode="External"/><Relationship Id="rId5" Type="http://schemas.openxmlformats.org/officeDocument/2006/relationships/numbering" Target="numbering.xml"/><Relationship Id="rId19" Type="http://schemas.openxmlformats.org/officeDocument/2006/relationships/hyperlink" Target="https://genclgbti.org/" TargetMode="External"/><Relationship Id="rId6" Type="http://schemas.openxmlformats.org/officeDocument/2006/relationships/styles" Target="styles.xml"/><Relationship Id="rId18" Type="http://schemas.openxmlformats.org/officeDocument/2006/relationships/hyperlink" Target="https://kadinininsanhaklari.org/" TargetMode="External"/><Relationship Id="rId7" Type="http://schemas.openxmlformats.org/officeDocument/2006/relationships/customXml" Target="../customXML/item1.xml"/><Relationship Id="rId8" Type="http://schemas.openxmlformats.org/officeDocument/2006/relationships/hyperlink" Target="https://www.esithaklar.or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docs.un.org/en/A/HRC/44/50" TargetMode="External"/><Relationship Id="rId10" Type="http://schemas.openxmlformats.org/officeDocument/2006/relationships/hyperlink" Target="https://www.ohchr.org/sites/default/files/documents/publications/briefer-the-impact-slapps-hr-how-resond.pdf" TargetMode="External"/><Relationship Id="rId13" Type="http://schemas.openxmlformats.org/officeDocument/2006/relationships/hyperlink" Target="https://euromedrights.org/wp-content/uploads/2021/02/GoNGOS-Report_Final.pdf" TargetMode="External"/><Relationship Id="rId12" Type="http://schemas.openxmlformats.org/officeDocument/2006/relationships/hyperlink" Target="https://docs.un.org/en/A/HRC/41/41" TargetMode="External"/><Relationship Id="rId1" Type="http://schemas.openxmlformats.org/officeDocument/2006/relationships/hyperlink" Target="https://www.venice.coe.int/webforms/documents/CDL-AD(2011)035-e.aspx" TargetMode="External"/><Relationship Id="rId2" Type="http://schemas.openxmlformats.org/officeDocument/2006/relationships/hyperlink" Target="https://www.venice.coe.int/webforms/documents/CDL-AD(2011)035-e.aspx" TargetMode="External"/><Relationship Id="rId3" Type="http://schemas.openxmlformats.org/officeDocument/2006/relationships/hyperlink" Target="https://www.civicus.org/documents/reports-and-publications/SOCS/2025/state-of-civil-society-report-2025_en.pdf" TargetMode="External"/><Relationship Id="rId4" Type="http://schemas.openxmlformats.org/officeDocument/2006/relationships/hyperlink" Target="https://monitor.civicus.org/globalfindings_2025/" TargetMode="External"/><Relationship Id="rId9" Type="http://schemas.openxmlformats.org/officeDocument/2006/relationships/hyperlink" Target="https://www.omct.org/site-resources/files/TurquieOBS2023-ENG.pdf" TargetMode="External"/><Relationship Id="rId15" Type="http://schemas.openxmlformats.org/officeDocument/2006/relationships/hyperlink" Target="https://docs.un.org/en/A/HRC/56/50" TargetMode="External"/><Relationship Id="rId14" Type="http://schemas.openxmlformats.org/officeDocument/2006/relationships/hyperlink" Target="https://www.venice.coe.int/webforms/documents/default.aspx?pdffile=CDL-AD(2019)002-e" TargetMode="External"/><Relationship Id="rId17" Type="http://schemas.openxmlformats.org/officeDocument/2006/relationships/hyperlink" Target="https://docs.un.org/en/A/80/219" TargetMode="External"/><Relationship Id="rId16" Type="http://schemas.openxmlformats.org/officeDocument/2006/relationships/hyperlink" Target="https://docs.un.org/en/A/HRC/13/22" TargetMode="External"/><Relationship Id="rId5" Type="http://schemas.openxmlformats.org/officeDocument/2006/relationships/hyperlink" Target="https://www.omct.org/site-resources/files/TurquieOBS2023-ENG.pdf" TargetMode="External"/><Relationship Id="rId6" Type="http://schemas.openxmlformats.org/officeDocument/2006/relationships/hyperlink" Target="https://kaosgl1.org/en/single-news/closure-decision-against-young-lgbti-the-justification-is-obscenity-based-on-social-media-posts" TargetMode="External"/><Relationship Id="rId7" Type="http://schemas.openxmlformats.org/officeDocument/2006/relationships/hyperlink" Target="https://ks.echr.coe.int/documents/d/echr-ks/guide_art_11_eng" TargetMode="External"/><Relationship Id="rId8" Type="http://schemas.openxmlformats.org/officeDocument/2006/relationships/hyperlink" Target="https://www.venice.coe.int/webforms/documents/default.aspx?pdffile=CDL-AD%282014%290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0bdY3mB5uLuABbfJHzcPqUeuA==">CgMxLjA4AHIhMThLb19XSUpkcjVoc3o0YVA2ZjJwUXNmeGgxaHJMUDgx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